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kern w:val="0"/>
          <w:sz w:val="28"/>
          <w:szCs w:val="28"/>
          <w:lang w:bidi="ar"/>
        </w:rPr>
      </w:pPr>
      <w:bookmarkStart w:id="1" w:name="_GoBack"/>
      <w:bookmarkStart w:id="0" w:name="OLE_LINK2"/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附件一：备用电源</w:t>
      </w:r>
      <w:r>
        <w:rPr>
          <w:rFonts w:hint="eastAsia" w:ascii="宋体" w:hAnsi="宋体" w:cs="宋体"/>
          <w:b w:val="0"/>
          <w:bCs w:val="0"/>
          <w:sz w:val="40"/>
          <w:szCs w:val="40"/>
        </w:rPr>
        <w:t>采购项目</w:t>
      </w:r>
      <w:r>
        <w:rPr>
          <w:rFonts w:hint="eastAsia" w:ascii="宋体" w:hAnsi="宋体" w:cs="宋体"/>
          <w:b w:val="0"/>
          <w:bCs w:val="0"/>
          <w:kern w:val="0"/>
          <w:sz w:val="40"/>
          <w:szCs w:val="40"/>
          <w:lang w:bidi="ar"/>
        </w:rPr>
        <w:t>技术规格及要求</w:t>
      </w:r>
      <w:bookmarkEnd w:id="0"/>
    </w:p>
    <w:bookmarkEnd w:id="1"/>
    <w:tbl>
      <w:tblPr>
        <w:tblStyle w:val="6"/>
        <w:tblW w:w="9676" w:type="dxa"/>
        <w:tblInd w:w="-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010"/>
        <w:gridCol w:w="5560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010" w:type="dxa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5560" w:type="dxa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技术参数要求</w:t>
            </w:r>
          </w:p>
        </w:tc>
        <w:tc>
          <w:tcPr>
            <w:tcW w:w="1224" w:type="dxa"/>
          </w:tcPr>
          <w:p>
            <w:pPr>
              <w:jc w:val="center"/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UPS主机、</w:t>
            </w:r>
            <w:r>
              <w:rPr>
                <w:rFonts w:hint="eastAsia" w:ascii="宋体" w:hAnsi="宋体" w:cs="宋体"/>
                <w:kern w:val="0"/>
                <w:sz w:val="24"/>
              </w:rPr>
              <w:t>UPS电池（蓄电池）</w:t>
            </w:r>
          </w:p>
        </w:tc>
        <w:tc>
          <w:tcPr>
            <w:tcW w:w="5560" w:type="dxa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1.外观要求：蓄电池标志清晰，外观不得有变形、漏液、裂纹及污迹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；正、负极端子有明显标志，便于连接。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电池类型：须为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阀控式密封铅酸蓄电池。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​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额定电压：12V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​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4、单节蓄电池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容量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≥38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内阻：新电池出厂时，内阻≤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left="240" w:hanging="240" w:hangingChars="100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6、蓄电池正常浮充状态下，其浮充寿命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10年，投标时应提供与本项目同型号、同规格产品彩页佐证，并加盖厂家公章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。​</w:t>
            </w:r>
          </w:p>
          <w:p>
            <w:pPr>
              <w:ind w:left="240" w:hanging="240" w:hanging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在线式双变换工频型UPS，容量不低于30kVA/24kW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left="240" w:hanging="240" w:hangingChars="100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8、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充电电流：最大充电电流≤40A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​​</w:t>
            </w:r>
          </w:p>
          <w:p>
            <w:pPr>
              <w:ind w:left="240" w:hanging="240" w:hangingChars="100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安全性：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备输出短路保护、输出过载保护、电池低电压保护、输出过欠压保护、风扇故障告警等功能。</w:t>
            </w:r>
          </w:p>
          <w:p>
            <w:pPr>
              <w:ind w:left="240" w:hanging="240" w:hanging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10、具备防爆性能：蓄电池充电过程中遇明火，内部应不引燃、不引爆；</w:t>
            </w:r>
          </w:p>
          <w:p>
            <w:pPr>
              <w:ind w:left="240" w:hanging="240" w:hangingChars="100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外接电池组电压可调：若未来遭遇个别电池故障，需维护、更换时，可现场灵活调节电池组的只数，在配置12V电池的情况下，可根据现场电池节数从29/30/31/32节调整，无须整组更换；投标时须提供满足上述要求的产品彩页截图，并加盖厂家公章。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  <w:p>
            <w:pPr>
              <w:ind w:left="240" w:hanging="240" w:hangingChars="100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、服务质量：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UPS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五年质保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UPS电池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三年质保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left="240" w:hanging="240" w:hangingChars="100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、电池数量：9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块，每组3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块共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，UPS主机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24" w:type="dxa"/>
            <w:vMerge w:val="restart"/>
          </w:tcPr>
          <w:p>
            <w:pPr>
              <w:ind w:left="240" w:hanging="240" w:hangingChars="10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ind w:left="240" w:hanging="240" w:hangingChars="10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电池柜</w:t>
            </w:r>
          </w:p>
        </w:tc>
        <w:tc>
          <w:tcPr>
            <w:tcW w:w="5560" w:type="dxa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机柜涂覆层应表面光洁、色泽均匀、无流挂、无露底 金属件无毛刺、无锈蚀。含标准电池连接线及电池空开，且外壳防护等级须达到电气设备防护等级GB/T4208规定的IP65要求，投标时提供第三方权威机构出具的检测报告原件扫描件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24" w:type="dxa"/>
            <w:vMerge w:val="continue"/>
          </w:tcPr>
          <w:p>
            <w:pPr>
              <w:ind w:left="240" w:hanging="240" w:hangingChars="10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3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相关辅材</w:t>
            </w:r>
          </w:p>
        </w:tc>
        <w:tc>
          <w:tcPr>
            <w:tcW w:w="5560" w:type="dxa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含相关电线及直流空开等配套辅材</w:t>
            </w:r>
          </w:p>
        </w:tc>
        <w:tc>
          <w:tcPr>
            <w:tcW w:w="1224" w:type="dxa"/>
            <w:vMerge w:val="continue"/>
          </w:tcPr>
          <w:p>
            <w:pPr>
              <w:ind w:left="240" w:hanging="240" w:hangingChars="10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1361" w:right="1627" w:bottom="1361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  <w:r>
      <w:drawing>
        <wp:inline distT="0" distB="0" distL="114300" distR="114300">
          <wp:extent cx="1600200" cy="274955"/>
          <wp:effectExtent l="0" t="0" r="0" b="10795"/>
          <wp:docPr id="1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A1F00"/>
    <w:rsid w:val="624A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2025-08-27T07:21:00Z</dcterms:created>
  <dc:creator>yygl</dc:creator>
  <cp:lastModifiedBy>yygl</cp:lastModifiedBy>
  <dcterms:modified xsi:type="dcterms:W3CDTF">2025-08-27T07:22:07Z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