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711E" w14:textId="77777777" w:rsidR="00A15641" w:rsidRDefault="00A15641" w:rsidP="00A15641">
      <w:pPr>
        <w:pStyle w:val="af2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sz w:val="28"/>
          <w:szCs w:val="28"/>
        </w:rPr>
        <w:t>后附：项目概况及相关要求</w:t>
      </w:r>
    </w:p>
    <w:p w14:paraId="26BC69DC" w14:textId="77777777" w:rsidR="00A15641" w:rsidRDefault="00A15641" w:rsidP="00A15641">
      <w:pPr>
        <w:spacing w:line="360" w:lineRule="auto"/>
        <w:ind w:rightChars="100" w:right="210"/>
        <w:jc w:val="left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一、项目概况</w:t>
      </w:r>
    </w:p>
    <w:p w14:paraId="2535EE39" w14:textId="77777777" w:rsidR="00A15641" w:rsidRDefault="00A15641" w:rsidP="00A15641">
      <w:pPr>
        <w:pStyle w:val="af4"/>
        <w:ind w:rightChars="100" w:righ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禹州市人民医院、各科室能耗管理系统安装电表</w:t>
      </w:r>
    </w:p>
    <w:p w14:paraId="2100B742" w14:textId="77777777" w:rsidR="00A15641" w:rsidRDefault="00A15641" w:rsidP="00A15641">
      <w:pPr>
        <w:pStyle w:val="af4"/>
        <w:ind w:rightChars="100" w:righ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门诊楼、传染科、后勤辅助楼、附属</w:t>
      </w:r>
      <w:proofErr w:type="gramStart"/>
      <w:r>
        <w:rPr>
          <w:rFonts w:hint="eastAsia"/>
          <w:color w:val="000000"/>
          <w:szCs w:val="21"/>
        </w:rPr>
        <w:t>用电设备用电设备</w:t>
      </w:r>
      <w:proofErr w:type="gramEnd"/>
      <w:r>
        <w:rPr>
          <w:rFonts w:hint="eastAsia"/>
          <w:color w:val="000000"/>
          <w:szCs w:val="21"/>
        </w:rPr>
        <w:t>，电表采用</w:t>
      </w:r>
      <w:r>
        <w:rPr>
          <w:rFonts w:hint="eastAsia"/>
          <w:color w:val="000000"/>
          <w:szCs w:val="21"/>
        </w:rPr>
        <w:t>4G-DDSY1690</w:t>
      </w:r>
      <w:r>
        <w:rPr>
          <w:rFonts w:hint="eastAsia"/>
          <w:color w:val="000000"/>
          <w:szCs w:val="21"/>
        </w:rPr>
        <w:t>三相导轨式后付费电能表。</w:t>
      </w:r>
    </w:p>
    <w:p w14:paraId="33831B72" w14:textId="77777777" w:rsidR="00A15641" w:rsidRDefault="00A15641" w:rsidP="00A15641">
      <w:pPr>
        <w:pStyle w:val="af4"/>
        <w:ind w:rightChars="100" w:righ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所有电表有线或无线方式组成网络，数据上传至我单位管理软件。用户可以随时查询用电量。</w:t>
      </w:r>
    </w:p>
    <w:p w14:paraId="47C0AE4B" w14:textId="77777777" w:rsidR="00A15641" w:rsidRDefault="00A15641" w:rsidP="00A15641">
      <w:pPr>
        <w:numPr>
          <w:ilvl w:val="0"/>
          <w:numId w:val="1"/>
        </w:numPr>
        <w:spacing w:line="360" w:lineRule="auto"/>
        <w:ind w:rightChars="100" w:right="210"/>
        <w:jc w:val="left"/>
        <w:outlineLvl w:val="0"/>
        <w:rPr>
          <w:rFonts w:ascii="宋体" w:hAnsi="宋体" w:cs="宋体"/>
          <w:b/>
          <w:sz w:val="24"/>
          <w:szCs w:val="24"/>
        </w:rPr>
      </w:pPr>
      <w:bookmarkStart w:id="0" w:name="_Toc12917"/>
      <w:r>
        <w:rPr>
          <w:rFonts w:ascii="宋体" w:hAnsi="宋体" w:cs="宋体" w:hint="eastAsia"/>
          <w:b/>
          <w:sz w:val="24"/>
          <w:szCs w:val="24"/>
        </w:rPr>
        <w:t>系统设计原则</w:t>
      </w:r>
      <w:bookmarkEnd w:id="0"/>
    </w:p>
    <w:p w14:paraId="45EB50D5" w14:textId="77777777" w:rsidR="00A15641" w:rsidRDefault="00A15641" w:rsidP="00A15641">
      <w:pPr>
        <w:pStyle w:val="af8"/>
        <w:ind w:rightChars="100" w:right="210" w:firstLine="42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根据现行国家规范和项目技术文件的要求，对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能源费控系统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的设计中遵循以下的原则：</w:t>
      </w:r>
    </w:p>
    <w:p w14:paraId="6F88D032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先进性：</w:t>
      </w:r>
      <w:r>
        <w:rPr>
          <w:rFonts w:ascii="宋体" w:hAnsi="宋体" w:hint="eastAsia"/>
          <w:color w:val="000000"/>
          <w:sz w:val="21"/>
          <w:szCs w:val="21"/>
        </w:rPr>
        <w:t>采用代表当今世界先进技术水平的成熟稳定的系统设备，并建立一个可扩展的平台，充分保护前期工程投资和后续扩展，使系统具有先进性。</w:t>
      </w:r>
    </w:p>
    <w:p w14:paraId="6EA7FFAE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节约性：</w:t>
      </w:r>
      <w:r>
        <w:rPr>
          <w:rFonts w:ascii="宋体" w:hAnsi="宋体" w:hint="eastAsia"/>
          <w:color w:val="000000"/>
          <w:sz w:val="21"/>
          <w:szCs w:val="21"/>
        </w:rPr>
        <w:t>减少能源及人力成本投入，降低运维成本</w:t>
      </w:r>
    </w:p>
    <w:p w14:paraId="3E08973E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实用及方便性：</w:t>
      </w:r>
      <w:r>
        <w:rPr>
          <w:rFonts w:ascii="宋体" w:hAnsi="宋体" w:hint="eastAsia"/>
          <w:color w:val="000000"/>
          <w:sz w:val="21"/>
          <w:szCs w:val="21"/>
        </w:rPr>
        <w:t>系统具备良好的人机界面、方便快捷的操作流程，切实为管理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方提高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管理效率，降低运营成本。</w:t>
      </w:r>
    </w:p>
    <w:p w14:paraId="6A9F080D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安全性、可靠性：</w:t>
      </w:r>
      <w:r>
        <w:rPr>
          <w:rFonts w:ascii="宋体" w:hAnsi="宋体" w:hint="eastAsia"/>
          <w:color w:val="000000"/>
          <w:sz w:val="21"/>
          <w:szCs w:val="21"/>
        </w:rPr>
        <w:t>采用分布式总线控制，安全性高，系统将任务分配给系统中每个现场处理器，免除因系统内某个设备的损坏而影响整个系统的运行。</w:t>
      </w:r>
    </w:p>
    <w:p w14:paraId="7204D574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模块化及扩展性：</w:t>
      </w:r>
      <w:r>
        <w:rPr>
          <w:rFonts w:ascii="宋体" w:hAnsi="宋体" w:hint="eastAsia"/>
          <w:color w:val="000000"/>
          <w:sz w:val="21"/>
          <w:szCs w:val="21"/>
        </w:rPr>
        <w:t>系统采用模块化设计，可与其他软件应用模块按需配套组合；具有良好的兼容性和可扩充性，具备丰富的规约库以接入不同厂商的不同仪表，也可以通过OPC、webservice接口等标准方式向更高级的上位管理系统提供数据，集成管理 。</w:t>
      </w:r>
    </w:p>
    <w:p w14:paraId="3E7DB136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合理性及经济性：</w:t>
      </w:r>
      <w:r>
        <w:rPr>
          <w:rFonts w:ascii="宋体" w:hAnsi="宋体" w:hint="eastAsia"/>
          <w:color w:val="000000"/>
          <w:sz w:val="21"/>
          <w:szCs w:val="21"/>
        </w:rPr>
        <w:t>系统根据项目现场实际情况采用最优化配置，满足客户需求，力求系统在初次投入和整个运行生命周期内获得最佳的性能价格比。</w:t>
      </w:r>
    </w:p>
    <w:p w14:paraId="77043802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复制性：</w:t>
      </w:r>
      <w:r>
        <w:rPr>
          <w:rFonts w:ascii="宋体" w:hAnsi="宋体" w:hint="eastAsia"/>
          <w:color w:val="000000"/>
          <w:sz w:val="21"/>
          <w:szCs w:val="21"/>
        </w:rPr>
        <w:t>制定标准化的能效管理方案，从而提高标准化水平，增强可复制性。</w:t>
      </w:r>
    </w:p>
    <w:p w14:paraId="77E5AB4B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b/>
          <w:sz w:val="21"/>
          <w:szCs w:val="21"/>
        </w:rPr>
        <w:t>统一性：</w:t>
      </w:r>
      <w:r>
        <w:rPr>
          <w:rFonts w:ascii="宋体" w:hAnsi="宋体" w:hint="eastAsia"/>
          <w:color w:val="000000"/>
          <w:sz w:val="21"/>
          <w:szCs w:val="21"/>
        </w:rPr>
        <w:t>建立统一的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集团级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管理平台，统一监控及管理，以大数据为基础，从宏观角度统计及分析运营情况。</w:t>
      </w:r>
    </w:p>
    <w:p w14:paraId="40E96524" w14:textId="77777777" w:rsidR="00A15641" w:rsidRDefault="00A15641" w:rsidP="00A15641">
      <w:pPr>
        <w:numPr>
          <w:ilvl w:val="0"/>
          <w:numId w:val="1"/>
        </w:numPr>
        <w:spacing w:line="360" w:lineRule="auto"/>
        <w:ind w:rightChars="100" w:right="210"/>
        <w:jc w:val="left"/>
        <w:outlineLvl w:val="0"/>
        <w:rPr>
          <w:rFonts w:ascii="宋体" w:hAnsi="宋体" w:cs="宋体"/>
          <w:b/>
          <w:sz w:val="24"/>
          <w:szCs w:val="24"/>
        </w:rPr>
      </w:pPr>
      <w:bookmarkStart w:id="1" w:name="_Toc14452"/>
      <w:r>
        <w:rPr>
          <w:rFonts w:ascii="宋体" w:hAnsi="宋体" w:cs="宋体" w:hint="eastAsia"/>
          <w:b/>
          <w:sz w:val="24"/>
          <w:szCs w:val="24"/>
        </w:rPr>
        <w:t>用户需求</w:t>
      </w:r>
      <w:bookmarkEnd w:id="1"/>
    </w:p>
    <w:p w14:paraId="54D9EA85" w14:textId="77777777" w:rsidR="00A15641" w:rsidRDefault="00A15641" w:rsidP="00A15641">
      <w:pPr>
        <w:spacing w:line="360" w:lineRule="auto"/>
        <w:ind w:rightChars="100" w:right="210" w:firstLineChars="200" w:firstLine="420"/>
        <w:rPr>
          <w:sz w:val="44"/>
          <w:szCs w:val="44"/>
        </w:rPr>
      </w:pPr>
      <w:r>
        <w:rPr>
          <w:rFonts w:ascii="宋体" w:hAnsi="宋体" w:hint="eastAsia"/>
          <w:szCs w:val="21"/>
        </w:rPr>
        <w:t>基于项目实际情况，智能化设计一套管理系统。</w:t>
      </w:r>
    </w:p>
    <w:p w14:paraId="4706E55B" w14:textId="77777777" w:rsidR="00A15641" w:rsidRDefault="00A15641" w:rsidP="00A15641">
      <w:pPr>
        <w:spacing w:line="360" w:lineRule="auto"/>
        <w:ind w:rightChars="100" w:right="210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系统采用能源管理云平台，用户无需配置及维护系统服务器电脑，各类计量仪表直接联网或通过采集设备联网，统一接入到云端后台，云端后台通过弹性记录、负载均衡等一系列手段，为用户分配独立的工程项目管理空间。用户凭有效账号，可通过Web随时查看仪表实时数据，分析比较能源历史数据。</w:t>
      </w:r>
    </w:p>
    <w:p w14:paraId="6E99A341" w14:textId="77777777" w:rsidR="00A15641" w:rsidRDefault="00A15641" w:rsidP="00A15641">
      <w:pPr>
        <w:spacing w:line="360" w:lineRule="auto"/>
        <w:ind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系统实现对用区域电能表采集和统计，远程自动抄表、用量统计等功能，包括：</w:t>
      </w:r>
    </w:p>
    <w:p w14:paraId="1718F498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实时抄表功能：实时抄送电表数据，包括实时电能、总电能</w:t>
      </w:r>
    </w:p>
    <w:p w14:paraId="336C27FD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登录操作日志管理：多级分权限的登录操作及操作日志。</w:t>
      </w:r>
    </w:p>
    <w:p w14:paraId="5746D44C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冻结抄表功能：丰富的冻结设置：自动定时冻结，日冻结，月冻结。　</w:t>
      </w:r>
    </w:p>
    <w:p w14:paraId="534B5B13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设备档案管理：</w:t>
      </w:r>
      <w:proofErr w:type="gramStart"/>
      <w:r>
        <w:rPr>
          <w:rFonts w:ascii="宋体" w:hAnsi="宋体" w:hint="eastAsia"/>
          <w:bCs/>
          <w:szCs w:val="21"/>
        </w:rPr>
        <w:t>前端表</w:t>
      </w:r>
      <w:proofErr w:type="gramEnd"/>
      <w:r>
        <w:rPr>
          <w:rFonts w:ascii="宋体" w:hAnsi="宋体" w:hint="eastAsia"/>
          <w:bCs/>
          <w:szCs w:val="21"/>
        </w:rPr>
        <w:t>计、采集器、集中器（区域管理器）的设置建档。</w:t>
      </w:r>
    </w:p>
    <w:p w14:paraId="0CF1BE39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数据统计分析：按字段自定义统计。</w:t>
      </w:r>
    </w:p>
    <w:p w14:paraId="311B4DC6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报表查询打即：日、月、年、任意时段报表查询、报表生成并保存和打印。</w:t>
      </w:r>
    </w:p>
    <w:p w14:paraId="7F838030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数据备份恢复等：支持本地、双机、异地等多种备份方式。</w:t>
      </w:r>
    </w:p>
    <w:p w14:paraId="72D9BAC7" w14:textId="77777777" w:rsidR="00A15641" w:rsidRDefault="00A15641" w:rsidP="00A15641">
      <w:pPr>
        <w:spacing w:line="360" w:lineRule="auto"/>
        <w:ind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系统抄表参数可配置，抄表频率最高可达到10分钟轮询。系统抄表方式灵活，可根据不同的工作需求而进行不同的抄表工作，</w:t>
      </w:r>
    </w:p>
    <w:p w14:paraId="25DF628D" w14:textId="77777777" w:rsidR="00A15641" w:rsidRDefault="00A15641" w:rsidP="00A15641">
      <w:pPr>
        <w:spacing w:line="360" w:lineRule="auto"/>
        <w:ind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可分为如下几种操作模式：</w:t>
      </w:r>
    </w:p>
    <w:p w14:paraId="05D47140" w14:textId="77777777" w:rsidR="00A15641" w:rsidRDefault="00A15641" w:rsidP="00A15641">
      <w:pPr>
        <w:pStyle w:val="a9"/>
        <w:numPr>
          <w:ilvl w:val="0"/>
          <w:numId w:val="3"/>
        </w:numPr>
        <w:spacing w:line="360" w:lineRule="auto"/>
        <w:ind w:left="0" w:rightChars="100" w:right="210" w:firstLine="6"/>
        <w:contextualSpacing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数据全部抄收：选定一个抄表区域，将该区域所有电能表数据全部回传；</w:t>
      </w:r>
    </w:p>
    <w:p w14:paraId="4209564D" w14:textId="77777777" w:rsidR="00A15641" w:rsidRDefault="00A15641" w:rsidP="00A15641">
      <w:pPr>
        <w:pStyle w:val="a9"/>
        <w:numPr>
          <w:ilvl w:val="0"/>
          <w:numId w:val="3"/>
        </w:numPr>
        <w:spacing w:line="360" w:lineRule="auto"/>
        <w:ind w:left="0" w:rightChars="100" w:right="210" w:firstLine="6"/>
        <w:contextualSpacing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多表数据传输：选定一批电能表，将该批电能表的数据回传；</w:t>
      </w:r>
    </w:p>
    <w:p w14:paraId="7B40AEB2" w14:textId="77777777" w:rsidR="00A15641" w:rsidRDefault="00A15641" w:rsidP="00A15641">
      <w:pPr>
        <w:ind w:rightChars="100" w:right="210" w:firstLineChars="200" w:firstLine="420"/>
        <w:jc w:val="left"/>
        <w:rPr>
          <w:sz w:val="44"/>
          <w:szCs w:val="44"/>
        </w:rPr>
      </w:pPr>
      <w:r>
        <w:rPr>
          <w:rFonts w:ascii="宋体" w:hAnsi="宋体" w:hint="eastAsia"/>
          <w:bCs/>
          <w:szCs w:val="21"/>
        </w:rPr>
        <w:t>单表点抄：选定某一个电能表，将该表的数据回传</w:t>
      </w:r>
    </w:p>
    <w:p w14:paraId="7B7AE3FD" w14:textId="77777777" w:rsidR="00A15641" w:rsidRDefault="00A15641" w:rsidP="00A15641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          4G 智能电表组网方案</w:t>
      </w:r>
    </w:p>
    <w:p w14:paraId="34894E88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概述：采用智能化 4G 远传电能表，可将实时数据传送至后台数据库进行存储并建立能耗模型，从多个角度进行统计、分析、评判，及时反馈能耗漏洞，解决用能核算、用能收费、损耗控制、用能预测、用能安全等方面问题，同时为宏观决策提供及时准确的数据。智能电表作为用电信息及能源分配的末端设备，覆盖及使用范围广，对于大量的电表接入需要更灵活的接入方式，4G 智能电表相比于</w:t>
      </w:r>
      <w:proofErr w:type="gramStart"/>
      <w:r>
        <w:rPr>
          <w:rFonts w:ascii="宋体" w:hAnsi="宋体" w:cs="宋体" w:hint="eastAsia"/>
          <w:color w:val="191B1F"/>
          <w:kern w:val="0"/>
          <w:sz w:val="24"/>
          <w:szCs w:val="24"/>
        </w:rPr>
        <w:t>集抄模式</w:t>
      </w:r>
      <w:proofErr w:type="gramEnd"/>
      <w:r>
        <w:rPr>
          <w:rFonts w:ascii="宋体" w:hAnsi="宋体" w:cs="宋体" w:hint="eastAsia"/>
          <w:color w:val="191B1F"/>
          <w:kern w:val="0"/>
          <w:sz w:val="24"/>
          <w:szCs w:val="24"/>
        </w:rPr>
        <w:t>的智能电表减少了与集中器的接线环节更为灵活。而 Cat.1 方案的成熟商用，将在满足 4G 智能电表的数据传输需求基础上进一步降低成本，助力 4G 智能电表的快速推广。</w:t>
      </w:r>
    </w:p>
    <w:p w14:paraId="1296875C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功能特点</w:t>
      </w:r>
    </w:p>
    <w:p w14:paraId="33D380A1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1</w:t>
      </w:r>
      <w:r>
        <w:rPr>
          <w:rFonts w:ascii="宋体" w:hAnsi="宋体" w:cs="宋体"/>
          <w:color w:val="191B1F"/>
          <w:kern w:val="0"/>
          <w:sz w:val="24"/>
          <w:szCs w:val="24"/>
        </w:rPr>
        <w:t>.4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G组网实现抄表、预付费控制、电表通断。</w:t>
      </w:r>
    </w:p>
    <w:p w14:paraId="53FA80C5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2</w:t>
      </w:r>
      <w:r>
        <w:rPr>
          <w:rFonts w:ascii="宋体" w:hAnsi="宋体" w:cs="宋体"/>
          <w:color w:val="191B1F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无需布线，有4</w:t>
      </w:r>
      <w:r>
        <w:rPr>
          <w:rFonts w:ascii="宋体" w:hAnsi="宋体" w:cs="宋体"/>
          <w:color w:val="191B1F"/>
          <w:kern w:val="0"/>
          <w:sz w:val="24"/>
          <w:szCs w:val="24"/>
        </w:rPr>
        <w:t>G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信号即可实现数据传输。</w:t>
      </w:r>
    </w:p>
    <w:p w14:paraId="4C2AEF11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3</w:t>
      </w:r>
      <w:r>
        <w:rPr>
          <w:rFonts w:ascii="宋体" w:hAnsi="宋体" w:cs="宋体"/>
          <w:color w:val="191B1F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手机、平板、电脑多平台登录，</w:t>
      </w:r>
      <w:proofErr w:type="gramStart"/>
      <w:r>
        <w:rPr>
          <w:rFonts w:ascii="宋体" w:hAnsi="宋体" w:cs="宋体" w:hint="eastAsia"/>
          <w:color w:val="191B1F"/>
          <w:kern w:val="0"/>
          <w:sz w:val="24"/>
          <w:szCs w:val="24"/>
        </w:rPr>
        <w:t>微信缴费</w:t>
      </w:r>
      <w:proofErr w:type="gramEnd"/>
      <w:r>
        <w:rPr>
          <w:rFonts w:ascii="宋体" w:hAnsi="宋体" w:cs="宋体" w:hint="eastAsia"/>
          <w:color w:val="191B1F"/>
          <w:kern w:val="0"/>
          <w:sz w:val="24"/>
          <w:szCs w:val="24"/>
        </w:rPr>
        <w:t>。</w:t>
      </w:r>
    </w:p>
    <w:p w14:paraId="26222F6D" w14:textId="77777777" w:rsidR="00A15641" w:rsidRDefault="00A15641" w:rsidP="00A15641">
      <w:pPr>
        <w:widowControl/>
        <w:shd w:val="clear" w:color="auto" w:fill="FFFFFF"/>
        <w:spacing w:before="336" w:after="336"/>
        <w:jc w:val="left"/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4</w:t>
      </w:r>
      <w:r>
        <w:rPr>
          <w:rFonts w:ascii="宋体" w:hAnsi="宋体" w:cs="宋体"/>
          <w:color w:val="191B1F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出厂默认附赠6年无线流量</w:t>
      </w:r>
    </w:p>
    <w:p w14:paraId="088230AF" w14:textId="4F570D5B" w:rsidR="00A15641" w:rsidRDefault="00A15641" w:rsidP="00A15641"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3AD96B0C" wp14:editId="6758A8F8">
            <wp:extent cx="5274310" cy="3921125"/>
            <wp:effectExtent l="0" t="0" r="2540" b="3175"/>
            <wp:docPr id="1372449167" name="图片 1" descr="https://pic4.zhimg.com/v2-5fdd79176b6779e168d35a823f5e9ee3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pic4.zhimg.com/v2-5fdd79176b6779e168d35a823f5e9ee3_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5303" w14:textId="77777777" w:rsidR="00A15641" w:rsidRDefault="00A15641" w:rsidP="00A15641">
      <w:pPr>
        <w:pStyle w:val="2"/>
        <w:widowControl/>
        <w:pBdr>
          <w:left w:val="single" w:sz="48" w:space="0" w:color="37AB2F"/>
        </w:pBdr>
        <w:shd w:val="clear" w:color="auto" w:fill="FFFFFF"/>
        <w:spacing w:before="525" w:after="225" w:line="330" w:lineRule="atLeast"/>
        <w:ind w:firstLineChars="100" w:firstLine="330"/>
        <w:rPr>
          <w:rFonts w:ascii="微软雅黑" w:eastAsia="微软雅黑" w:hAnsi="微软雅黑" w:cs="微软雅黑"/>
          <w:color w:val="000000"/>
          <w:sz w:val="33"/>
          <w:szCs w:val="33"/>
        </w:rPr>
      </w:pPr>
      <w: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产品</w:t>
      </w:r>
      <w:r>
        <w:rPr>
          <w:rFonts w:ascii="微软雅黑" w:eastAsia="微软雅黑" w:hAnsi="微软雅黑" w:cs="微软雅黑" w:hint="eastAsia"/>
          <w:color w:val="000000"/>
          <w:sz w:val="33"/>
          <w:szCs w:val="33"/>
          <w:shd w:val="clear" w:color="auto" w:fill="FFFFFF"/>
        </w:rPr>
        <w:t>规格</w:t>
      </w:r>
    </w:p>
    <w:p w14:paraId="59875EB9" w14:textId="77777777" w:rsidR="00A15641" w:rsidRDefault="00A15641" w:rsidP="00A15641">
      <w:pPr>
        <w:pStyle w:val="af6"/>
        <w:numPr>
          <w:ilvl w:val="0"/>
          <w:numId w:val="4"/>
        </w:numPr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4G-DDSY-1690-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电表：单相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60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A</w:t>
      </w:r>
    </w:p>
    <w:p w14:paraId="3949C7BC" w14:textId="77777777" w:rsidR="00A15641" w:rsidRDefault="00A15641" w:rsidP="00A15641">
      <w:pPr>
        <w:pStyle w:val="af6"/>
        <w:numPr>
          <w:ilvl w:val="0"/>
          <w:numId w:val="4"/>
        </w:numPr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4G-DDSY-1690-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电表：三相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1.5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60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A</w:t>
      </w:r>
    </w:p>
    <w:p w14:paraId="5E8039AF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831C5DD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C3F5F4A" w14:textId="77777777" w:rsidR="001B1BF9" w:rsidRDefault="001B1BF9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82014B9" w14:textId="77777777" w:rsidR="001B1BF9" w:rsidRDefault="001B1BF9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C9721C0" w14:textId="77777777" w:rsidR="001B1BF9" w:rsidRDefault="001B1BF9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FA23356" w14:textId="77777777" w:rsidR="001B1BF9" w:rsidRDefault="001B1BF9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359E646" w14:textId="77777777" w:rsidR="001B1BF9" w:rsidRDefault="001B1BF9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3B71B8C" w14:textId="77777777" w:rsidR="001B1BF9" w:rsidRDefault="001B1BF9" w:rsidP="00A15641">
      <w:pPr>
        <w:pStyle w:val="af6"/>
        <w:spacing w:before="0" w:beforeAutospacing="0" w:after="226" w:afterAutospacing="0" w:line="360" w:lineRule="atLeast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tbl>
      <w:tblPr>
        <w:tblW w:w="8934" w:type="dxa"/>
        <w:tblInd w:w="-412" w:type="dxa"/>
        <w:tblLayout w:type="fixed"/>
        <w:tblLook w:val="0000" w:firstRow="0" w:lastRow="0" w:firstColumn="0" w:lastColumn="0" w:noHBand="0" w:noVBand="0"/>
      </w:tblPr>
      <w:tblGrid>
        <w:gridCol w:w="831"/>
        <w:gridCol w:w="1127"/>
        <w:gridCol w:w="2907"/>
        <w:gridCol w:w="1091"/>
        <w:gridCol w:w="1021"/>
        <w:gridCol w:w="1957"/>
      </w:tblGrid>
      <w:tr w:rsidR="00A15641" w14:paraId="699D19D1" w14:textId="77777777" w:rsidTr="00036339">
        <w:trPr>
          <w:trHeight w:val="440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80A0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禹州市人民医院计量系统报价清单(无线）（门诊楼用电）</w:t>
            </w:r>
          </w:p>
        </w:tc>
      </w:tr>
      <w:tr w:rsidR="00A15641" w14:paraId="3048F845" w14:textId="77777777" w:rsidTr="00036339">
        <w:trPr>
          <w:trHeight w:val="44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F44E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7EF8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名称</w:t>
            </w:r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1774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规格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D635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C95C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数量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F6B9F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备注</w:t>
            </w:r>
          </w:p>
        </w:tc>
      </w:tr>
      <w:tr w:rsidR="00A15641" w14:paraId="06FA2BE5" w14:textId="77777777" w:rsidTr="00036339">
        <w:trPr>
          <w:trHeight w:val="639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694A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4CBB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电表</w:t>
            </w:r>
          </w:p>
        </w:tc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B1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4G-DDSY1690-3*1.5(6)A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33AB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块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3875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1162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导轨式</w:t>
            </w:r>
          </w:p>
        </w:tc>
      </w:tr>
      <w:tr w:rsidR="00A15641" w14:paraId="700CD88C" w14:textId="77777777" w:rsidTr="00036339">
        <w:trPr>
          <w:trHeight w:val="654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72B5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A6EA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电表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55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4G-DDSY1690-3*10(60)A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DF45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8D1CC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94FF2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导轨式</w:t>
            </w:r>
          </w:p>
        </w:tc>
      </w:tr>
      <w:tr w:rsidR="00A15641" w14:paraId="351E8E96" w14:textId="77777777" w:rsidTr="00036339">
        <w:trPr>
          <w:trHeight w:val="639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DC76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B578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AC7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4G-DDSY1690-2*15(60)A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F42D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8B03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0692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导轨式</w:t>
            </w:r>
          </w:p>
        </w:tc>
      </w:tr>
      <w:tr w:rsidR="00A15641" w14:paraId="679D09BA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50E6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A237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345E7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400/5(0.5S)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197C6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5A4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41C7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78A623E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8B17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0C08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B88F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300/5(0.5S)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758F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0267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41A0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4233764C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BD62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75473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39C0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250/5(0.5S)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8C7F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112A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93AB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3CCE1FA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4E27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5747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54D7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200/5(0.5S)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D1FE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0DF5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80AF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2BE5A06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A21C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1D96C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2ED9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150/5(0.5S)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DFD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12FC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6077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08175568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4873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942E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C40C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100/5(0.5S)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22DB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4CED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D07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66467B8C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3437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3461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8999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50/5(0.5S)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E198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E88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B45C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776CE6FB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FE87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AD549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92DB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40/5(0.5S)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F7E1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891E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5895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73B8BBB6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E618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5826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CAD3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RVV-10*1.5mm²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1BC48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4FEB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F83F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84D8FD1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062E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3E47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51F7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ZR-RV-16mm²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9B14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0A3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3ECD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A6CB904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9316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DF649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2290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ZR-RV-6mm²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08BFF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B81B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07AC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689A811C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0295A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357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A20F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ZR-BV-4mm²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4C1A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A466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EBC2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A2B117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57EE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6D5F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表箱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0626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300*400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0FF0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79AF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42C92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定做</w:t>
            </w:r>
          </w:p>
        </w:tc>
      </w:tr>
      <w:tr w:rsidR="00A15641" w14:paraId="0F24D761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4AD7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29FE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表箱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74E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400*500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042A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E7C1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FF607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定做</w:t>
            </w:r>
          </w:p>
        </w:tc>
      </w:tr>
      <w:tr w:rsidR="00A15641" w14:paraId="40799EF5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675A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0454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金属软管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2A6A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25mm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9318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FEB5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7C5F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38F2AA9" w14:textId="77777777" w:rsidTr="00036339">
        <w:trPr>
          <w:trHeight w:val="387"/>
        </w:trPr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D3E0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6754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辅材</w:t>
            </w:r>
          </w:p>
        </w:tc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FA2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包含胶布、自攻丝</w:t>
            </w:r>
          </w:p>
          <w:p w14:paraId="24DA02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、扎带、膨胀丝等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9B3D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A387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8DB61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92F41D0" w14:textId="77777777" w:rsidTr="00036339">
        <w:trPr>
          <w:trHeight w:val="387"/>
        </w:trPr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643F9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E7F4B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1CA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ECC6A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8CE7A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9FD15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7BF756A" w14:textId="77777777" w:rsidTr="00036339">
        <w:trPr>
          <w:trHeight w:val="387"/>
        </w:trPr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FC93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B034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施工费</w:t>
            </w:r>
          </w:p>
        </w:tc>
        <w:tc>
          <w:tcPr>
            <w:tcW w:w="2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C60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电表及互感器的安装及调试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4337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A413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9FAD1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A5665FE" w14:textId="77777777" w:rsidTr="00036339">
        <w:trPr>
          <w:trHeight w:val="600"/>
        </w:trPr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08303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2F47A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DC09E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7422D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6A082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846F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F937DF7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8544B84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4E1D82C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72F0C4A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2F759D5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9998" w:type="dxa"/>
        <w:tblInd w:w="-1029" w:type="dxa"/>
        <w:tblLayout w:type="fixed"/>
        <w:tblLook w:val="0000" w:firstRow="0" w:lastRow="0" w:firstColumn="0" w:lastColumn="0" w:noHBand="0" w:noVBand="0"/>
      </w:tblPr>
      <w:tblGrid>
        <w:gridCol w:w="975"/>
        <w:gridCol w:w="1384"/>
        <w:gridCol w:w="3243"/>
        <w:gridCol w:w="1038"/>
        <w:gridCol w:w="1258"/>
        <w:gridCol w:w="2100"/>
      </w:tblGrid>
      <w:tr w:rsidR="00A15641" w14:paraId="6ACDC211" w14:textId="77777777" w:rsidTr="00036339">
        <w:trPr>
          <w:trHeight w:val="500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3E30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禹州市人民医院计量系统报价清单(无线）（传染科及附属用房用电）</w:t>
            </w:r>
          </w:p>
        </w:tc>
      </w:tr>
      <w:tr w:rsidR="00A15641" w14:paraId="0310EE80" w14:textId="77777777" w:rsidTr="00036339">
        <w:trPr>
          <w:trHeight w:val="50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9AF6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F204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97E52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3FE8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CA71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8143C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15641" w14:paraId="19353341" w14:textId="77777777" w:rsidTr="00036339">
        <w:trPr>
          <w:trHeight w:val="64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9A5E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27F8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</w:t>
            </w:r>
          </w:p>
        </w:tc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B45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4G-DDSY1690-3*1.5(6)A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5BFD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15E5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0BEA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导轨式</w:t>
            </w:r>
          </w:p>
        </w:tc>
      </w:tr>
      <w:tr w:rsidR="00A15641" w14:paraId="4F08ECEE" w14:textId="77777777" w:rsidTr="00036339">
        <w:trPr>
          <w:trHeight w:val="64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FBF5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01E0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56D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4G-DDSY1690-3*10(60)A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24C4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9CD1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121D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导轨式</w:t>
            </w:r>
          </w:p>
        </w:tc>
      </w:tr>
      <w:tr w:rsidR="00A15641" w14:paraId="4A96BE45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764F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C3E2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C85E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E95D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384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1584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48171773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0E28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354C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CF86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5567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67D3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1B65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7A09BF34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EB6C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B0F6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DC48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E2F3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AD63C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D922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2F59270C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F91C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C3BE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82B7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C25C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545D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906A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2B334060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3BB3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68D6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EC7B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5DB9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AA26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51C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6B180C4E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968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646D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C311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B6C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EECC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2C21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5B65060B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9CFD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BDB5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E840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RVV-10*1.5mm²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08AC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BCCE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4B00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767870BF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A5CC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9408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0A23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ZR-RV-16mm²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0962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1F15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830C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0B730CC5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8A36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50915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E396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ZR-RV-6mm²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0846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94FF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1908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1143EC55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BD9D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5EC9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61809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ZR-BV-4mm²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8FB4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15AF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F59A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099C1E9F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CE21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ED63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表箱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0469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3E44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D01D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1B33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定做</w:t>
            </w:r>
          </w:p>
        </w:tc>
      </w:tr>
      <w:tr w:rsidR="00A15641" w14:paraId="248438B4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4F682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5B17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表箱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A63A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400*500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13B80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86D3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691C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定做</w:t>
            </w:r>
          </w:p>
        </w:tc>
      </w:tr>
      <w:tr w:rsidR="00A15641" w14:paraId="668ACF49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8007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B1E5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金属软管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BF93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7F3B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1604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B1E4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05832641" w14:textId="77777777" w:rsidTr="00036339">
        <w:trPr>
          <w:trHeight w:val="382"/>
        </w:trPr>
        <w:tc>
          <w:tcPr>
            <w:tcW w:w="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F0D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08A7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辅材</w:t>
            </w:r>
          </w:p>
        </w:tc>
        <w:tc>
          <w:tcPr>
            <w:tcW w:w="3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39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包含胶布、自攻丝</w:t>
            </w:r>
          </w:p>
          <w:p w14:paraId="5A599B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、扎带、膨胀丝等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AECE9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3882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B78B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6102E62" w14:textId="77777777" w:rsidTr="00036339">
        <w:trPr>
          <w:trHeight w:val="382"/>
        </w:trPr>
        <w:tc>
          <w:tcPr>
            <w:tcW w:w="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5F455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F2BC4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E65D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066FE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FEE51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A7F28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4351841" w14:textId="77777777" w:rsidTr="00036339">
        <w:trPr>
          <w:trHeight w:val="382"/>
        </w:trPr>
        <w:tc>
          <w:tcPr>
            <w:tcW w:w="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D063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93A4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施工费</w:t>
            </w:r>
          </w:p>
        </w:tc>
        <w:tc>
          <w:tcPr>
            <w:tcW w:w="32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BB0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电表及互感器的安装及调试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186D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23BE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4F888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2ED4E6B" w14:textId="77777777" w:rsidTr="00036339">
        <w:trPr>
          <w:trHeight w:val="540"/>
        </w:trPr>
        <w:tc>
          <w:tcPr>
            <w:tcW w:w="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F0497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3EF12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B67BB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B458B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BC6AC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5834C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4E64B71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1E91DD8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color w:val="000000"/>
          <w:szCs w:val="24"/>
          <w:lang w:bidi="ar"/>
        </w:rPr>
      </w:pPr>
      <w:r>
        <w:rPr>
          <w:rFonts w:hint="eastAsia"/>
          <w:color w:val="000000"/>
          <w:szCs w:val="24"/>
          <w:lang w:bidi="ar"/>
        </w:rPr>
        <w:t>注：以上报价含税含运费、含垃圾清理费，材料费、安装费，质保1年</w:t>
      </w:r>
    </w:p>
    <w:p w14:paraId="272AC19C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color w:val="000000"/>
          <w:szCs w:val="24"/>
          <w:lang w:bidi="ar"/>
        </w:rPr>
      </w:pPr>
    </w:p>
    <w:p w14:paraId="2E5244DB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color w:val="000000"/>
          <w:szCs w:val="24"/>
          <w:lang w:bidi="ar"/>
        </w:rPr>
      </w:pPr>
    </w:p>
    <w:p w14:paraId="25284E77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color w:val="000000"/>
          <w:szCs w:val="24"/>
          <w:lang w:bidi="ar"/>
        </w:rPr>
      </w:pPr>
    </w:p>
    <w:p w14:paraId="1656FAF5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color w:val="000000"/>
          <w:szCs w:val="24"/>
          <w:lang w:bidi="ar"/>
        </w:rPr>
      </w:pPr>
    </w:p>
    <w:p w14:paraId="21E646AC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color w:val="000000"/>
          <w:szCs w:val="24"/>
          <w:lang w:bidi="ar"/>
        </w:rPr>
      </w:pPr>
    </w:p>
    <w:tbl>
      <w:tblPr>
        <w:tblW w:w="10638" w:type="dxa"/>
        <w:tblInd w:w="-1104" w:type="dxa"/>
        <w:tblLayout w:type="fixed"/>
        <w:tblLook w:val="0000" w:firstRow="0" w:lastRow="0" w:firstColumn="0" w:lastColumn="0" w:noHBand="0" w:noVBand="0"/>
      </w:tblPr>
      <w:tblGrid>
        <w:gridCol w:w="669"/>
        <w:gridCol w:w="1960"/>
        <w:gridCol w:w="1608"/>
        <w:gridCol w:w="1380"/>
        <w:gridCol w:w="1608"/>
        <w:gridCol w:w="996"/>
        <w:gridCol w:w="708"/>
        <w:gridCol w:w="1709"/>
      </w:tblGrid>
      <w:tr w:rsidR="00A15641" w14:paraId="0A6E1995" w14:textId="77777777" w:rsidTr="00036339">
        <w:trPr>
          <w:trHeight w:val="980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31FA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禹州市人民医院门诊楼负荷表</w:t>
            </w:r>
          </w:p>
        </w:tc>
      </w:tr>
      <w:tr w:rsidR="00A15641" w14:paraId="6BF89F2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81D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396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9D22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FF5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0F6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BAA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4C085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02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44B88A2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F06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563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楼体检中心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2B4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1APK-TJ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5291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717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12F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B04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8A11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361864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9E1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0911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ABF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1AL-TJ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029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923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60C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008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690E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FEBB6A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8E0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D19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一楼东侧应急照明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1E1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8299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FEF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F23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60F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E8A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体检、影像、病案科、东门厅，共用</w:t>
            </w:r>
          </w:p>
        </w:tc>
      </w:tr>
      <w:tr w:rsidR="00A15641" w14:paraId="52FFACE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A53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E79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一楼影像中心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81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1AT-DR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E16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F2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5AE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3A3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46D3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A484A8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806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DE3F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EA9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1AT-GPTS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53D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310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3F4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1CD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6D86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3DCE48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EBF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A66F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E00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1AL-FS2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633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B18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3D2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DC2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3396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2EC3F7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7E1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2A3C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2C8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1AT-MB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515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489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688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44F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EE10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A58EDA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B4A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4C91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292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1APK-FS2-3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985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C94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71E8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BD9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B020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018BA8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2F5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94E9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8B9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1AT-WCZY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135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413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B216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E8DD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6E4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39924E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94B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F61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一楼DSA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6C6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1AT-DSA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4CB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DC5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6FB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EF6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97CE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E31684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95E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9909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DBD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1AL-DSA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2DC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288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A42A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BB1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BE58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008EF2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A25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A213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8D5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新装DSA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4DA7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DE5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9D9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CF5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52CE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6E898E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BF6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EEC1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50C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新装DSA空气压缩机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776D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60A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E349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40E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3AE7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F68CDE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EC8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98B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一楼大厅公共动力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AED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CDE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1D7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E6E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C85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512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2772C8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01D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CA77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一楼大厅公共照明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118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047A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8CC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94C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A46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A5A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21BFC1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4B9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5D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一楼南大厅应急照明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C82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867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43A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D13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1A9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1C9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药房走廊也用</w:t>
            </w:r>
          </w:p>
        </w:tc>
      </w:tr>
      <w:tr w:rsidR="00A15641" w14:paraId="59D91E1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24F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A53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一楼西药房、中药房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FB5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4E3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D5C7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136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5A3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EF77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23B29E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56F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1164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035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1APK-YF-1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5C1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D67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5B72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09D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7B5E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A8DC437" w14:textId="77777777" w:rsidTr="00036339">
        <w:trPr>
          <w:trHeight w:val="2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267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7379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B5D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1APK-YF-2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1E3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2B8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FA0E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D3D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D212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1C9E311" w14:textId="77777777" w:rsidTr="00036339">
        <w:trPr>
          <w:trHeight w:val="2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D2CC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C7E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一楼便民药房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DE00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812C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468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52B2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54F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38D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改造成房</w:t>
            </w:r>
            <w:proofErr w:type="gramEnd"/>
          </w:p>
        </w:tc>
      </w:tr>
      <w:tr w:rsidR="00A15641" w14:paraId="2A50D292" w14:textId="77777777" w:rsidTr="00036339">
        <w:trPr>
          <w:trHeight w:val="3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8C7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219A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一楼杏林雅阁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E14B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DD1E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961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FB6D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630D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CA7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改造成房</w:t>
            </w:r>
            <w:proofErr w:type="gramEnd"/>
          </w:p>
        </w:tc>
      </w:tr>
      <w:tr w:rsidR="00A15641" w14:paraId="3DD62CC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AFD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8C9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一楼乳腺诊断中心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99C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1APK-BA-N2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A8F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ABC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6241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3C3B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784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原图纸空调分路</w:t>
            </w:r>
          </w:p>
        </w:tc>
      </w:tr>
      <w:tr w:rsidR="00A15641" w14:paraId="1597CD5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1A3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37FB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8A6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1AL-YF-WL10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51D3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F29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49E3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5EA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F91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原图纸照明分路</w:t>
            </w:r>
          </w:p>
        </w:tc>
      </w:tr>
      <w:tr w:rsidR="00A15641" w14:paraId="12DD0BF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CBD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0C49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375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1AL-YF-WX10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75CD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1BE3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BCFB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BE00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DD9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7828EB1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0AB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A13A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1C3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1AL-YF-WX10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FC53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E667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DAAA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80D0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888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317A0F1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EF3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4EB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一楼南侧体检中心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558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1AL-BA-WX2.3.4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F7CB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F5A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6B0E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CA8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D79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2853080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29D2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2F3C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EC5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1AL-BA-WL1.3.4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3002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A677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0CF2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89DA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410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原图纸照明分路</w:t>
            </w:r>
          </w:p>
        </w:tc>
      </w:tr>
      <w:tr w:rsidR="00A15641" w14:paraId="5661F18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38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30C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一楼西侧茶水间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1A5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600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57E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5A0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FB0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B71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EDA456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C10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B2E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一楼东侧茶水间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634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BF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D74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C07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1DA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ADB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EDA587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64E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501C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一楼病案室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26C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7845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BD2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D84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0F0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85D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南侧体检中心用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分路</w:t>
            </w:r>
          </w:p>
        </w:tc>
      </w:tr>
      <w:tr w:rsidR="00A15641" w14:paraId="395B8A9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00DB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A17F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54D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1AL-BA-WX5.6.7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73FE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AD6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2DB2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F7C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4BA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1447BEC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097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933A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F36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1AL-BA-WL2.5.6.7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ACC7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3477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8EC8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6EA8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F53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原图纸照明分路</w:t>
            </w:r>
          </w:p>
        </w:tc>
      </w:tr>
      <w:tr w:rsidR="00A15641" w14:paraId="58B1258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F6F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BCD9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B879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1APK-BA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E06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AD1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F7E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E93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A32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乳腺中心与南侧体检中心用空调2路</w:t>
            </w:r>
          </w:p>
        </w:tc>
      </w:tr>
      <w:tr w:rsidR="00A15641" w14:paraId="6334C38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97F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22C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一楼磁共振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9B5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1APK-FS1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386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DAA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D9C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BED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5C8C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D7DEC5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ECDD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C88B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621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80A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FF4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22B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D11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F74B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EF2341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FDD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6F96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9A2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1AT-MR1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1C5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50C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EB3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5EC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F573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AE6254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474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4832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837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1APK-MR1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501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D8F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4E9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2DA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7DBC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E0B9FD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1B8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251F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043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1AT-GYYC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9A7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BFC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A990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E25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469C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786509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092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BD2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一楼应急照明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D14A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D34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A1F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4E4A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57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17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一楼CT、磁共振、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血夜透析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公共应急共用</w:t>
            </w:r>
          </w:p>
        </w:tc>
      </w:tr>
      <w:tr w:rsidR="00A15641" w14:paraId="309F385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E10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8736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FCF1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7B62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42DD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E8C7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0378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198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BF0B2A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035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9B9D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A8F4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8209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618F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7AD3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D04C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C178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B986FF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355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930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一楼CT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464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1AOK-FS1-1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7A9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30A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9DD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197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D62E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45828A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4E9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2A8D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3D32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1AT-CT1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7C4C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5B3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8BD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2D7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7976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8AD58F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D62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6263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5FC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1AT-CT2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19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3699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67B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85F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C380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2F342D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A53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9549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FB6A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1AT-PACS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EA6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36A3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E66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D36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0171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A1BEFC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74E3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0DC0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644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1AL-FS1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745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24A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2FD0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12B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4EED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9FAF69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B2D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740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楼血夜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病区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C2C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1AL-JZSY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EAE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6841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718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CDA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7462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9D3C2F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225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6AE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32B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1APK-JZSY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903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F87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1B3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0C0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7996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209095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AE4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1D4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一楼急诊科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294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D6A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802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254B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7C8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63A5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4CED9B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985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A744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C6CC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557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A2C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61D3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CCB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FC61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DEB14A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208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964F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2E9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1AL-JZ1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15C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CED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B90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75C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9422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D8F115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41F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E894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64E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X光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D24F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FBB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63C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96E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062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新装35平方电缆</w:t>
            </w:r>
          </w:p>
        </w:tc>
      </w:tr>
      <w:tr w:rsidR="00A15641" w14:paraId="4FDB7B5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86D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410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一楼急诊重症监护病区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3BA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744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327F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116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DC3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5599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42E1F5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829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16CE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AEE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1AT-JZ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87F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B66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C18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2C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3700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3F5C7B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592D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019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一楼收费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06E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1AL-EK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241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850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8C2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560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A316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7CA796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C3B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A232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350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1AL-SF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BAE2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4D96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4DF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387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C3C1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E904A0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F40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AF2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二楼B超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F1B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2APK-BC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712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AE0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C2D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85F8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4F17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AEE570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3F8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3F0A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4BD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2AL-BC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D12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F26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4D67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436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51B1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FC9C23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D1D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00A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二楼内镜中心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D2E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2APK-NJ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B455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F03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80A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5CD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8D61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2A018F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B8E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F73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36B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2AL-NJI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845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EF4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112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D22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55A9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FFA423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A56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E0F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340F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2AL-NJ2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05B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5AF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D1D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ED8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EFB4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1489CC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BCC2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455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A4A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5CC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59F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A8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325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15D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内镜与B超共用应急照明</w:t>
            </w:r>
          </w:p>
        </w:tc>
      </w:tr>
      <w:tr w:rsidR="00A15641" w14:paraId="01D45F4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30A6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408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EA8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A75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527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E2D3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A69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2ED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09629D3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90F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2C4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419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A65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471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8AA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E97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202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41BC599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6DF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8419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994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2ALE5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562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19E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823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464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68C2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A8C83A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5B5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E5F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二楼应急照明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DC8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2ALE1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91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4D1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38A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568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32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外科、手术室、耳鼻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共用应急</w:t>
            </w:r>
          </w:p>
        </w:tc>
      </w:tr>
      <w:tr w:rsidR="00A15641" w14:paraId="169EB95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36F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D764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E721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B5AA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0CBE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A0DB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E02C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EC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0DD23E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A0A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4BD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二楼西边开水间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54B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473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11E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E6EB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A7D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376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195BE7C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7AA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225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二楼耳鼻喉科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1EB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2APK-EBH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E12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973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0A3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4F7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1EBB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2ABD8E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693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E44C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04F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2AL-EBH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721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4D7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F096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7D3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68D6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5BAAA79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BDA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F96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二手手术室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0EB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2APK-WK-N1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B0B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FB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C563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4B5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5250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CEFA7A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AEC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D3BA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5D1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2AT-MZSS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979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2FA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473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EF5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CA70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61385A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0A1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5EB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二手外科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57A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2AL-WK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975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C3B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022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9D5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FF70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C3F852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A48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A2CE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882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2APK-WK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88B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596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E1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B9C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58E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带走廊新风2台</w:t>
            </w:r>
          </w:p>
        </w:tc>
      </w:tr>
      <w:tr w:rsidR="00A15641" w14:paraId="61EB3EB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3D7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9A0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二楼收费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CB8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2AL-ZT-N?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015A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B25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A48B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444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99A2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</w:tr>
      <w:tr w:rsidR="00A15641" w14:paraId="0654B6E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161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C90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二楼雾化中心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76D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2APK-ZT-N1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0977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EE9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ADB9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7FF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2FB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与收费处空调一路</w:t>
            </w:r>
          </w:p>
        </w:tc>
      </w:tr>
      <w:tr w:rsidR="00A15641" w14:paraId="3F2B1BA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97C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770D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18D2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2APK-ZT-3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0D3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C45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DBB3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493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E046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48160A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015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9A98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9B8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2AL-ZT-N?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8B8A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0E5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1169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CEE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8AA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照明与插座引自2AL-ZT</w:t>
            </w:r>
          </w:p>
        </w:tc>
      </w:tr>
      <w:tr w:rsidR="00A15641" w14:paraId="70C0A28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576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DE4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二楼内科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1FD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2AL-NK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721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AB8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D22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697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617E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39C243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827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1441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D8B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2APK-NK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EB9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396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F60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1FDC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0A80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B48AC59" w14:textId="77777777" w:rsidTr="00036339">
        <w:trPr>
          <w:trHeight w:val="7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600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E73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二楼配镜中心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9E9F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1118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94FD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9AE8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816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326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电源引自？</w:t>
            </w:r>
          </w:p>
        </w:tc>
      </w:tr>
      <w:tr w:rsidR="00A15641" w14:paraId="0752DE38" w14:textId="77777777" w:rsidTr="00036339">
        <w:trPr>
          <w:trHeight w:val="6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8BF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4A4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二楼眼科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485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2AL-YK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B7C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6C8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4D4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080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7A4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C696301" w14:textId="77777777" w:rsidTr="00036339">
        <w:trPr>
          <w:trHeight w:val="7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3AC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2715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36C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2APK-YK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461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C11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57D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8CD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ED0B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2C417FB" w14:textId="77777777" w:rsidTr="00036339">
        <w:trPr>
          <w:trHeight w:val="8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800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7C7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二楼东边茶水间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133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2QE-KSQ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EF2A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FAE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73FE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BC2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D03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4AD5881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8D9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8F46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4E63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09AE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28DD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864B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CCB1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8594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CEA210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243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8F6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二楼口腔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32F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2AL-KQ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51E8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1B4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400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F06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A494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D31A841" w14:textId="77777777" w:rsidTr="00036339">
        <w:trPr>
          <w:trHeight w:val="3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2DE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C27A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B0B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2APK-KQ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532C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979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688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7EB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B283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DFB5E5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0B8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C4B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二楼心电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A96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2APK-XD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045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830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CAF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528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1537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8DCBE7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ED0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2CDA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91FB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2AL-XD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1AB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9DE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3337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E2D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F91E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D2F7573" w14:textId="77777777" w:rsidTr="00036339">
        <w:trPr>
          <w:trHeight w:val="6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448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506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二楼检验科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4DE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2APK-ZXJY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D04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195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516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357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01FC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2BFFB94" w14:textId="77777777" w:rsidTr="00036339">
        <w:trPr>
          <w:trHeight w:val="5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98F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AA2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8AD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2AL-ZXJY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6F8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CDF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6E7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FB7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1615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1505145" w14:textId="77777777" w:rsidTr="00036339">
        <w:trPr>
          <w:trHeight w:val="5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346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CC5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三楼病理科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822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3APK-BL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626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19F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184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4AE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D53B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F1EEE6B" w14:textId="77777777" w:rsidTr="00036339">
        <w:trPr>
          <w:trHeight w:val="5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A7E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CD4C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AC9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3AL-BL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E61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F9D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AE6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438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21C2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E9FD7C5" w14:textId="77777777" w:rsidTr="00036339">
        <w:trPr>
          <w:trHeight w:val="5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D48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2EC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楼血夜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透析二病区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7BE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3AT-TX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29A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31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2B8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3EF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0A96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B91DA0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5640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A401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AC3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3APK-TX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0330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18A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282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C0E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A581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70E836F" w14:textId="77777777" w:rsidTr="00036339">
        <w:trPr>
          <w:trHeight w:val="50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5DB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2E3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DB1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5FF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D78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2B6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70B7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FE0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透析、病理科公用应急照明</w:t>
            </w:r>
          </w:p>
        </w:tc>
      </w:tr>
      <w:tr w:rsidR="00A15641" w14:paraId="344873E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51B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DB6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473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6A0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807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53EF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D97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24FB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7A9370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216C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28F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E31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D84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F85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32E2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EE7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40B0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61427B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02B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5B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三楼皮肤科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162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C3D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440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786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1E2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8572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309C3F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397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37FE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E47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005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290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C60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FB8F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6BB3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14CB30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EB1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DF5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0ED3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999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9C5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187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1FA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E688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A8A791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BC4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D9B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三楼妇产科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106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3AL-FCK1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7F6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604B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EE3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F00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CD52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ACEAC29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315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3528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1DE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3AL-FCK2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D75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0FC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0D5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75B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B015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BD4CB8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F87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BBAC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88C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3APK-FCK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4E2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31E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D81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5DD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00A3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BD950C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FE0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21A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三楼办公区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0DC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3APK-XX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CEC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A4C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B42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25A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569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C6E3B3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C69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0444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85D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3APK-TSG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4D9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E36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E47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BF0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DBBE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64A4FED" w14:textId="77777777" w:rsidTr="00036339">
        <w:trPr>
          <w:trHeight w:val="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2DD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022B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0C7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577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DB6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057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DD8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22C4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5A30C3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91B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6A6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三楼办公区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EEF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3B1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CA0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1F1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C8B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6994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E6DECE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76DA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6357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E37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D59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4B3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4EC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C9B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EF9B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AE12CB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5CE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9998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4B5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3AL-XX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1E7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BA0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DB4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0C9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72CD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72CE09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C7F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A258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E69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3AL-ZHBG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612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919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86B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113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A99D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D32C26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FE02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660C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C7A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3AL-DZBG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AEB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736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32C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4FF1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C3D2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1C3E3BB" w14:textId="77777777" w:rsidTr="00036339">
        <w:trPr>
          <w:trHeight w:val="3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9D7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94F4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4502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3AL-TSG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2F8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C74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FD8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C42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3AA2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0B05948" w14:textId="77777777" w:rsidTr="00036339">
        <w:trPr>
          <w:trHeight w:val="3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4219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8D76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D44F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BA5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47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730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A24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75AB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B5411C0" w14:textId="77777777" w:rsidTr="00036339">
        <w:trPr>
          <w:trHeight w:val="38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DCC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C4DC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097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3AL-YZBG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0E3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BC0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45E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F18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D940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0735F0A" w14:textId="77777777" w:rsidTr="00036339">
        <w:trPr>
          <w:trHeight w:val="3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9EA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E1A9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FD2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58D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399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528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B3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2DA0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B27A0D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1DF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1AB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AB4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3F9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DF4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9DB7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565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456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021BEE5" w14:textId="77777777" w:rsidTr="00036339">
        <w:trPr>
          <w:trHeight w:val="60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22D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4C9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四楼全科医疗科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AAD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0EA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F97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1DA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417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0106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3B7E438" w14:textId="77777777" w:rsidTr="00036339">
        <w:trPr>
          <w:trHeight w:val="66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526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7438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775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DE4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69E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8C5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566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82DF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01798D8" w14:textId="77777777" w:rsidTr="00036339">
        <w:trPr>
          <w:trHeight w:val="59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B3E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699B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4ED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A51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732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93A6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255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52F6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BED7909" w14:textId="77777777" w:rsidTr="00036339">
        <w:trPr>
          <w:trHeight w:val="5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F72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8F3D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F88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41C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C3A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E17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675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1693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F96A0F8" w14:textId="77777777" w:rsidTr="00036339">
        <w:trPr>
          <w:trHeight w:val="55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907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0837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FD9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62C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90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E45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FF0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CA6C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036BE13" w14:textId="77777777" w:rsidTr="00036339">
        <w:trPr>
          <w:trHeight w:val="51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160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AB18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A46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D61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453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DE0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6F1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0DDB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43C08C8" w14:textId="77777777" w:rsidTr="00036339">
        <w:trPr>
          <w:trHeight w:val="6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6BD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ABA0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F96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644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DF1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807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F7C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70C9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A34EE8C" w14:textId="77777777" w:rsidTr="00036339">
        <w:trPr>
          <w:trHeight w:val="60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8C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E3B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四楼新冠疫苗接种科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049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BDA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7F0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140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35F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3B5D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BBA7B2D" w14:textId="77777777" w:rsidTr="00036339">
        <w:trPr>
          <w:trHeight w:val="6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056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3730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139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327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20F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4B4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92B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30EC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500BCD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43E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E5D1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6E6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4ALE1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BC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526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2CB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DEA2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D390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西边南部应急照明</w:t>
            </w:r>
          </w:p>
        </w:tc>
      </w:tr>
      <w:tr w:rsidR="00A15641" w14:paraId="413CED3A" w14:textId="77777777" w:rsidTr="00036339">
        <w:trPr>
          <w:trHeight w:val="7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990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47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国家标准化代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谢病管理中心（糖尿病）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BC4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249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D65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DCCF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DBCF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7D68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7275FE4" w14:textId="77777777" w:rsidTr="00036339">
        <w:trPr>
          <w:trHeight w:val="5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5A6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2F7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CAC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3DD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1B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DA6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8DEA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1CA3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040136D" w14:textId="77777777" w:rsidTr="00036339">
        <w:trPr>
          <w:trHeight w:val="61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96AB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61E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四楼中医科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046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F2B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946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3AC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DE2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F8A0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0392242" w14:textId="77777777" w:rsidTr="00036339">
        <w:trPr>
          <w:trHeight w:val="50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5361C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AAE2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788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FEB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626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A80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3EF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F41B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EDE1BC3" w14:textId="77777777" w:rsidTr="00036339">
        <w:trPr>
          <w:trHeight w:val="111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AE425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EE6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550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AE0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1E0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109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198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375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西边北部应急照明</w:t>
            </w:r>
          </w:p>
        </w:tc>
      </w:tr>
      <w:tr w:rsidR="00A15641" w14:paraId="139B49B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9DBF7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97C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234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338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8E9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49B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682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75B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494338E" w14:textId="77777777" w:rsidTr="00036339">
        <w:trPr>
          <w:trHeight w:val="99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76874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8D5C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EC8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B3F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F1E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8D9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120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3C6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1A1BCBA8" w14:textId="77777777" w:rsidTr="00036339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48AB3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2BC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四楼报告厅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D116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4APK-BGT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0BB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755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870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3D9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AE97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88E78A0" w14:textId="77777777" w:rsidTr="00036339">
        <w:trPr>
          <w:trHeight w:val="5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760B9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5028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DF3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4AL-BGT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5E0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B20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4D4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F71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14CD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441D609" w14:textId="77777777" w:rsidTr="00036339">
        <w:trPr>
          <w:trHeight w:val="5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B670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0AC2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825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4AP-BGTYX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F5C6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8ABF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A06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22D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9E6A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0B50C85" w14:textId="77777777" w:rsidTr="00036339">
        <w:trPr>
          <w:trHeight w:val="64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BCC1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80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四楼多功能厅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463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4APK-DGNT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AFF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C27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234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431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A7CD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DE5617B" w14:textId="77777777" w:rsidTr="00036339">
        <w:trPr>
          <w:trHeight w:val="6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CAE19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1360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363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4AL-DGNT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7F4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7D2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0BC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7A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E454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0363579" w14:textId="77777777" w:rsidTr="00036339">
        <w:trPr>
          <w:trHeight w:val="54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3D982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41C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四楼办公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22F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F4F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26BB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AC8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2AC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C034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E852C4E" w14:textId="77777777" w:rsidTr="00036339">
        <w:trPr>
          <w:trHeight w:val="6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AAE40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788E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CD1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466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69B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3E7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480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D021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EA2BAB3" w14:textId="77777777" w:rsidTr="00036339">
        <w:trPr>
          <w:trHeight w:val="5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60175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859F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FC6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4AL-BG2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116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6108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465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E40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AB08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EE7E886" w14:textId="77777777" w:rsidTr="00036339">
        <w:trPr>
          <w:trHeight w:val="4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3E163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EBC9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4BB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4AL-BG3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439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91E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D59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36F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71D9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764267F" w14:textId="77777777" w:rsidTr="00036339">
        <w:trPr>
          <w:trHeight w:val="60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1D04A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21BB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E29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439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F45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95C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854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1B1F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AF43B98" w14:textId="77777777" w:rsidTr="00036339">
        <w:trPr>
          <w:trHeight w:val="5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82595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9090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楼顶配电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BB0A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4B4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E6D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B78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621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DBD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5D69BB6C" w14:textId="77777777" w:rsidTr="00036339">
        <w:trPr>
          <w:trHeight w:val="5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69F2A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A12F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5E6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D1C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2CA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624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2C0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D455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143394A" w14:textId="77777777" w:rsidTr="00036339">
        <w:trPr>
          <w:trHeight w:val="5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480D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ADD9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3A7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E85F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616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911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432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1346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7935813" w14:textId="77777777" w:rsidTr="00036339">
        <w:trPr>
          <w:trHeight w:val="5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AF9B3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3E39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E03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1A6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D06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E00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653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E5FF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BE26583" w14:textId="77777777" w:rsidTr="00036339">
        <w:trPr>
          <w:trHeight w:val="5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AA69B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E077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142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5AP-D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827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A006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F75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2B4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FFE0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B6DC602" w14:textId="77777777" w:rsidTr="00036339">
        <w:trPr>
          <w:trHeight w:val="58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75D00D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554E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6E8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5APK-X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0B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C35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C83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BB8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0439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D51FF96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DC6F48F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4A0EE56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CE431A8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951E0C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10775" w:type="dxa"/>
        <w:tblInd w:w="-1114" w:type="dxa"/>
        <w:tblLayout w:type="fixed"/>
        <w:tblLook w:val="0000" w:firstRow="0" w:lastRow="0" w:firstColumn="0" w:lastColumn="0" w:noHBand="0" w:noVBand="0"/>
      </w:tblPr>
      <w:tblGrid>
        <w:gridCol w:w="767"/>
        <w:gridCol w:w="1524"/>
        <w:gridCol w:w="2352"/>
        <w:gridCol w:w="1128"/>
        <w:gridCol w:w="1740"/>
        <w:gridCol w:w="936"/>
        <w:gridCol w:w="708"/>
        <w:gridCol w:w="1620"/>
      </w:tblGrid>
      <w:tr w:rsidR="00A15641" w14:paraId="16328F08" w14:textId="77777777" w:rsidTr="00036339">
        <w:trPr>
          <w:trHeight w:val="860"/>
        </w:trPr>
        <w:tc>
          <w:tcPr>
            <w:tcW w:w="107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5284D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禹州市人民医院传染科</w:t>
            </w:r>
          </w:p>
        </w:tc>
      </w:tr>
      <w:tr w:rsidR="00A15641" w14:paraId="3B95B7F5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E3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E04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CA9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846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82E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CA7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0AC8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72F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046C7B22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EF3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FF9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一楼肠道门诊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6E3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244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5E10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5EB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95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3890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26F9D93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C73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A153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D61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1AP-K-2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2DE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E46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601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E77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D32B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A504EED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CFD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01D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一楼发热门诊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DB7C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1AP-LED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F027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E4E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9B7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6D7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CE02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2C86AE2A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09F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A738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FDA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1AP-K-1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DC7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493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6A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870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F915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1896099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43DA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DF29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FF9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26B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F1D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BF0E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640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7E6A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2D2AD74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BC1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F7F6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807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1AL-XG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3A6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5D8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B2B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C57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55AA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23197BA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502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4132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0EC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569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BFA3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C8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DAE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6539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96606A1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6AC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5E8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8C9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2AT-YL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80A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89C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9E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393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60E7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69DD12F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944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4805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C46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490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4D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E6D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AC5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2F64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55557E1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EF3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CB60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FC47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2AP-K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10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942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578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653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8BB4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E42A04A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918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7DE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A22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3AT-YL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E2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E19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459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4D8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08A3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4EAFF56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C27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57E4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949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3AP-K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37F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920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308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2A6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8E16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6071597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2497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8BE5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B93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1E6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201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7D09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A1B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B62B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A276978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43F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B0F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楼顶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821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4AP-DT1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7A1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3AA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A9B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2F5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498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937AF9F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5EB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06F7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049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4AP-DT2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E7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944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262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630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E88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</w:tbl>
    <w:p w14:paraId="18595BBA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720B6CD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D11B434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B3B380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9E08E27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6BA3772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0EE02FB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14:paraId="05F5269D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8D6F6D4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10621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80"/>
        <w:gridCol w:w="1200"/>
        <w:gridCol w:w="2239"/>
        <w:gridCol w:w="792"/>
        <w:gridCol w:w="1554"/>
        <w:gridCol w:w="1200"/>
        <w:gridCol w:w="966"/>
        <w:gridCol w:w="1590"/>
      </w:tblGrid>
      <w:tr w:rsidR="00A15641" w14:paraId="67C65488" w14:textId="77777777" w:rsidTr="00036339">
        <w:trPr>
          <w:trHeight w:val="740"/>
        </w:trPr>
        <w:tc>
          <w:tcPr>
            <w:tcW w:w="106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9C7F9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禹州市人民医院后勤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辅助楼</w:t>
            </w:r>
            <w:proofErr w:type="gramEnd"/>
          </w:p>
        </w:tc>
      </w:tr>
      <w:tr w:rsidR="00A15641" w14:paraId="7D492638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5CE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6B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35C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B28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6A30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9A2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F0464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DC2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691517E1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C2A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FC4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一楼后期科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EF8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A6BC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616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9F8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121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1862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66A27C4F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201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E7822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37D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APZ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801D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BAB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603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04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1A98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913EF5E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7C6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FBA3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7B8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APPC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86C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5A3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E40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73E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3AEC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F0054B5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2A7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F05D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F25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6D6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F7D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2C91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AA9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22AC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5FD8421D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E8E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FE3E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657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1AP-CFFJZ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51E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42D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E7D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EEF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7190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0954AE36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D36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4BF9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773E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1AP-KT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7240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E5E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8C6A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8B1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ECE1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A23E790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BF2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1016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EFC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1AP-CF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108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8C2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C10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584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0BA9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E27A078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740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5294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CAB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1AL-CF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6AE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ED7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E68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1A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E61B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B5049CF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3E0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B19B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6BB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1AL-MT6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3C5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34A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9F8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4CC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E8E2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2589938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C43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E7D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二楼厨房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DB8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2AL-BG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EF7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8C6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404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7C1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78BBD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1E0C242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ABE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3C70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823B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2AP-XF2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E6C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35F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8F24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2C52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9BE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196DBD6A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959F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DE3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三楼宿舍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52A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3AW1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EE12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1A7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4F5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D75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B4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宿舍原图一间一个配电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箱现在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是共用配电箱（实际与原图不符）</w:t>
            </w:r>
          </w:p>
        </w:tc>
      </w:tr>
      <w:tr w:rsidR="00A15641" w14:paraId="6FD4E2A1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84C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043A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154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3AW2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05B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03B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0A5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75E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6C3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71FAE711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73A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DAA4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B5A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C72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311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998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956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033C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17F61F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EDD7AF9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1C3782D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2E62864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2A8808F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558CDF0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AE1177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84D7782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EEEA32B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3F6ACDF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10752" w:type="dxa"/>
        <w:tblInd w:w="-1054" w:type="dxa"/>
        <w:tblLayout w:type="fixed"/>
        <w:tblLook w:val="0000" w:firstRow="0" w:lastRow="0" w:firstColumn="0" w:lastColumn="0" w:noHBand="0" w:noVBand="0"/>
      </w:tblPr>
      <w:tblGrid>
        <w:gridCol w:w="852"/>
        <w:gridCol w:w="1512"/>
        <w:gridCol w:w="1320"/>
        <w:gridCol w:w="1248"/>
        <w:gridCol w:w="1764"/>
        <w:gridCol w:w="1668"/>
        <w:gridCol w:w="804"/>
        <w:gridCol w:w="1584"/>
      </w:tblGrid>
      <w:tr w:rsidR="00A15641" w14:paraId="046D1783" w14:textId="77777777" w:rsidTr="00036339">
        <w:trPr>
          <w:trHeight w:val="860"/>
        </w:trPr>
        <w:tc>
          <w:tcPr>
            <w:tcW w:w="107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952B1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lastRenderedPageBreak/>
              <w:t>禹州市人民医院附属用电设备</w:t>
            </w:r>
          </w:p>
        </w:tc>
      </w:tr>
      <w:tr w:rsidR="00A15641" w14:paraId="17C8CD43" w14:textId="77777777" w:rsidTr="00036339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BB4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AC6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E28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AC0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B3D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968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669CD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48CC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2203B359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754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3EE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81A90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FF62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423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EF259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42F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156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7E4A737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41D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2D1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东部自行车棚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83C4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C604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770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9E78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4A4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4B6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5B501BC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FC8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39A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危险品库房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BBFC6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8F88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244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A9D9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C7A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24605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442A3766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073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BEA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高压制氧机房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CE203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7707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199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85BA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1AB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2FB2A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3B452CD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C26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9D61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36A6E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6CFC8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E12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B13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914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3F394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5641" w14:paraId="35C5604C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95A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ADD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门诊亮化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E67FB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7F4E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B31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08DF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392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AFAD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2A96ED30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C0F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D2D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病房楼亮化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01EFF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20217" w14:textId="77777777" w:rsidR="00A15641" w:rsidRDefault="00A15641" w:rsidP="00036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704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5017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5BF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4A4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</w:tbl>
    <w:p w14:paraId="7B1617E9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9A03ECE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color w:val="000000"/>
          <w:szCs w:val="24"/>
          <w:lang w:bidi="ar"/>
        </w:rPr>
      </w:pPr>
    </w:p>
    <w:p w14:paraId="339633BD" w14:textId="77777777" w:rsidR="00A15641" w:rsidRDefault="00A15641" w:rsidP="00A15641">
      <w:pPr>
        <w:pStyle w:val="af2"/>
      </w:pPr>
    </w:p>
    <w:p w14:paraId="14733E21" w14:textId="77777777" w:rsidR="00830D2A" w:rsidRDefault="00830D2A"/>
    <w:sectPr w:rsidR="00830D2A" w:rsidSect="009A36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BBBB" w14:textId="77777777" w:rsidR="009A3656" w:rsidRDefault="009A3656" w:rsidP="00A15641">
      <w:r>
        <w:separator/>
      </w:r>
    </w:p>
  </w:endnote>
  <w:endnote w:type="continuationSeparator" w:id="0">
    <w:p w14:paraId="4D804869" w14:textId="77777777" w:rsidR="009A3656" w:rsidRDefault="009A3656" w:rsidP="00A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5D00" w14:textId="77777777" w:rsidR="009A3656" w:rsidRDefault="009A3656" w:rsidP="00A15641">
      <w:r>
        <w:separator/>
      </w:r>
    </w:p>
  </w:footnote>
  <w:footnote w:type="continuationSeparator" w:id="0">
    <w:p w14:paraId="2740BD71" w14:textId="77777777" w:rsidR="009A3656" w:rsidRDefault="009A3656" w:rsidP="00A1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1F481F"/>
    <w:multiLevelType w:val="singleLevel"/>
    <w:tmpl w:val="AC1F481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703CDE"/>
    <w:multiLevelType w:val="singleLevel"/>
    <w:tmpl w:val="04703C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F077B3"/>
    <w:multiLevelType w:val="multilevel"/>
    <w:tmpl w:val="0CF077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E1C9F"/>
    <w:multiLevelType w:val="multilevel"/>
    <w:tmpl w:val="2D0E1C9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1903836">
    <w:abstractNumId w:val="1"/>
  </w:num>
  <w:num w:numId="2" w16cid:durableId="748967746">
    <w:abstractNumId w:val="0"/>
  </w:num>
  <w:num w:numId="3" w16cid:durableId="1045761337">
    <w:abstractNumId w:val="2"/>
  </w:num>
  <w:num w:numId="4" w16cid:durableId="188548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E"/>
    <w:rsid w:val="001B1BF9"/>
    <w:rsid w:val="0022748E"/>
    <w:rsid w:val="002C2DD7"/>
    <w:rsid w:val="00830D2A"/>
    <w:rsid w:val="009A3656"/>
    <w:rsid w:val="00A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5A698"/>
  <w15:chartTrackingRefBased/>
  <w15:docId w15:val="{5251F37C-82FF-43C9-AC47-CE6010D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4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2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22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74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748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A156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A15641"/>
    <w:rPr>
      <w:sz w:val="18"/>
      <w:szCs w:val="18"/>
    </w:rPr>
  </w:style>
  <w:style w:type="paragraph" w:styleId="af0">
    <w:name w:val="footer"/>
    <w:basedOn w:val="a"/>
    <w:link w:val="af1"/>
    <w:unhideWhenUsed/>
    <w:rsid w:val="00A1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A15641"/>
    <w:rPr>
      <w:sz w:val="18"/>
      <w:szCs w:val="18"/>
    </w:rPr>
  </w:style>
  <w:style w:type="paragraph" w:styleId="af2">
    <w:name w:val="Body Text"/>
    <w:basedOn w:val="a"/>
    <w:link w:val="af3"/>
    <w:uiPriority w:val="99"/>
    <w:unhideWhenUsed/>
    <w:qFormat/>
    <w:rsid w:val="00A15641"/>
    <w:pPr>
      <w:spacing w:after="120"/>
    </w:pPr>
  </w:style>
  <w:style w:type="character" w:customStyle="1" w:styleId="af3">
    <w:name w:val="正文文本 字符"/>
    <w:basedOn w:val="a0"/>
    <w:link w:val="af2"/>
    <w:uiPriority w:val="99"/>
    <w:rsid w:val="00A15641"/>
    <w:rPr>
      <w:rFonts w:ascii="Calibri" w:eastAsia="宋体" w:hAnsi="Calibri" w:cs="Times New Roman"/>
    </w:rPr>
  </w:style>
  <w:style w:type="paragraph" w:styleId="af4">
    <w:name w:val="Body Text Indent"/>
    <w:basedOn w:val="a"/>
    <w:link w:val="af5"/>
    <w:qFormat/>
    <w:rsid w:val="00A15641"/>
    <w:pPr>
      <w:ind w:firstLine="705"/>
    </w:pPr>
  </w:style>
  <w:style w:type="character" w:customStyle="1" w:styleId="af5">
    <w:name w:val="正文文本缩进 字符"/>
    <w:basedOn w:val="a0"/>
    <w:link w:val="af4"/>
    <w:rsid w:val="00A15641"/>
    <w:rPr>
      <w:rFonts w:ascii="Calibri" w:eastAsia="宋体" w:hAnsi="Calibri" w:cs="Times New Roman"/>
    </w:rPr>
  </w:style>
  <w:style w:type="paragraph" w:styleId="TOC1">
    <w:name w:val="toc 1"/>
    <w:basedOn w:val="a"/>
    <w:next w:val="a"/>
    <w:uiPriority w:val="39"/>
    <w:unhideWhenUsed/>
    <w:qFormat/>
    <w:rsid w:val="00A15641"/>
  </w:style>
  <w:style w:type="paragraph" w:styleId="af6">
    <w:name w:val="Normal (Web)"/>
    <w:basedOn w:val="a"/>
    <w:qFormat/>
    <w:rsid w:val="00A156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First Indent 2"/>
    <w:basedOn w:val="af4"/>
    <w:link w:val="22"/>
    <w:qFormat/>
    <w:rsid w:val="00A15641"/>
    <w:pPr>
      <w:ind w:firstLineChars="200" w:firstLine="420"/>
    </w:pPr>
  </w:style>
  <w:style w:type="character" w:customStyle="1" w:styleId="22">
    <w:name w:val="正文文本首行缩进 2 字符"/>
    <w:basedOn w:val="af5"/>
    <w:link w:val="21"/>
    <w:rsid w:val="00A15641"/>
    <w:rPr>
      <w:rFonts w:ascii="Calibri" w:eastAsia="宋体" w:hAnsi="Calibri" w:cs="Times New Roman"/>
    </w:rPr>
  </w:style>
  <w:style w:type="table" w:styleId="af7">
    <w:name w:val="Table Grid"/>
    <w:basedOn w:val="a1"/>
    <w:rsid w:val="00A156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正文首缩两字"/>
    <w:basedOn w:val="a"/>
    <w:qFormat/>
    <w:rsid w:val="00A15641"/>
    <w:pPr>
      <w:spacing w:line="360" w:lineRule="auto"/>
      <w:ind w:firstLineChars="200" w:firstLine="200"/>
    </w:pPr>
    <w:rPr>
      <w:rFonts w:ascii="Verdana" w:hAnsi="Verdana"/>
      <w:sz w:val="24"/>
      <w:szCs w:val="24"/>
    </w:rPr>
  </w:style>
  <w:style w:type="character" w:customStyle="1" w:styleId="font21">
    <w:name w:val="font21"/>
    <w:basedOn w:val="a0"/>
    <w:qFormat/>
    <w:rsid w:val="00A156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156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1564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1510</Words>
  <Characters>8611</Characters>
  <Application>Microsoft Office Word</Application>
  <DocSecurity>0</DocSecurity>
  <Lines>71</Lines>
  <Paragraphs>20</Paragraphs>
  <ScaleCrop>false</ScaleCrop>
  <Company>医疗健康集团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3</cp:revision>
  <dcterms:created xsi:type="dcterms:W3CDTF">2024-03-15T02:53:00Z</dcterms:created>
  <dcterms:modified xsi:type="dcterms:W3CDTF">2024-03-15T03:01:00Z</dcterms:modified>
</cp:coreProperties>
</file>