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213" w:type="dxa"/>
        <w:jc w:val="center"/>
        <w:tblLayout w:type="autofit"/>
        <w:tblCellMar>
          <w:top w:w="0" w:type="dxa"/>
          <w:left w:w="108" w:type="dxa"/>
          <w:bottom w:w="0" w:type="dxa"/>
          <w:right w:w="108" w:type="dxa"/>
        </w:tblCellMar>
      </w:tblPr>
      <w:tblGrid>
        <w:gridCol w:w="885"/>
        <w:gridCol w:w="1524"/>
        <w:gridCol w:w="6804"/>
      </w:tblGrid>
      <w:tr>
        <w:tblPrEx>
          <w:tblCellMar>
            <w:top w:w="0" w:type="dxa"/>
            <w:left w:w="108" w:type="dxa"/>
            <w:bottom w:w="0" w:type="dxa"/>
            <w:right w:w="108" w:type="dxa"/>
          </w:tblCellMar>
        </w:tblPrEx>
        <w:trPr>
          <w:trHeight w:val="820" w:hRule="atLeast"/>
          <w:jc w:val="center"/>
        </w:trPr>
        <w:tc>
          <w:tcPr>
            <w:tcW w:w="9213" w:type="dxa"/>
            <w:gridSpan w:val="3"/>
            <w:tcBorders>
              <w:top w:val="nil"/>
              <w:left w:val="nil"/>
              <w:bottom w:val="nil"/>
              <w:right w:val="nil"/>
            </w:tcBorders>
            <w:shd w:val="clear" w:color="auto" w:fill="auto"/>
            <w:vAlign w:val="center"/>
          </w:tcPr>
          <w:p>
            <w:pPr>
              <w:widowControl/>
              <w:jc w:val="left"/>
              <w:textAlignment w:val="center"/>
              <w:rPr>
                <w:rFonts w:ascii="宋体" w:hAnsi="宋体" w:eastAsia="宋体" w:cs="宋体"/>
                <w:b/>
                <w:bCs/>
                <w:color w:val="000000"/>
                <w:sz w:val="36"/>
                <w:szCs w:val="36"/>
              </w:rPr>
            </w:pPr>
            <w:bookmarkStart w:id="0" w:name="_GoBack"/>
            <w:bookmarkEnd w:id="0"/>
            <w:r>
              <w:rPr>
                <w:rFonts w:hint="eastAsia" w:ascii="宋体" w:hAnsi="宋体" w:eastAsia="宋体" w:cs="宋体"/>
                <w:b/>
                <w:bCs/>
                <w:color w:val="000000"/>
                <w:kern w:val="0"/>
                <w:sz w:val="28"/>
                <w:szCs w:val="36"/>
                <w:lang w:bidi="ar"/>
              </w:rPr>
              <w:t>附件：信息网络安全加固服务项目规格要求</w:t>
            </w:r>
          </w:p>
        </w:tc>
      </w:tr>
      <w:tr>
        <w:tblPrEx>
          <w:tblCellMar>
            <w:top w:w="0" w:type="dxa"/>
            <w:left w:w="108" w:type="dxa"/>
            <w:bottom w:w="0" w:type="dxa"/>
            <w:right w:w="108" w:type="dxa"/>
          </w:tblCellMar>
        </w:tblPrEx>
        <w:trPr>
          <w:trHeight w:val="52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项目</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要求</w:t>
            </w:r>
          </w:p>
        </w:tc>
      </w:tr>
      <w:tr>
        <w:tblPrEx>
          <w:tblCellMar>
            <w:top w:w="0" w:type="dxa"/>
            <w:left w:w="108" w:type="dxa"/>
            <w:bottom w:w="0" w:type="dxa"/>
            <w:right w:w="108" w:type="dxa"/>
          </w:tblCellMar>
        </w:tblPrEx>
        <w:trPr>
          <w:trHeight w:val="254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numPr>
                <w:ilvl w:val="0"/>
                <w:numId w:val="1"/>
              </w:numPr>
              <w:ind w:firstLineChars="0"/>
              <w:jc w:val="center"/>
              <w:textAlignment w:val="center"/>
              <w:rPr>
                <w:rFonts w:ascii="宋体" w:hAnsi="宋体" w:eastAsia="宋体" w:cs="宋体"/>
                <w:color w:val="000000"/>
                <w:szCs w:val="21"/>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漏洞扫描和渗透测试服务</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针对禹州市人民医院信息系统，从业务专网、互联网等位置利用各种手段对某个特定业务系统进行技术性渗透测试，发现和挖掘系统中存在的安全问题，使用专业检测工具和分析技术对院内信息系统进行漏洞扫描及渗透测试，发现信息系统服务器操作系统、数据库、中间件、网络及安全设备等存在的漏洞，并分析、评估漏洞风险程度，提供整改建议。并提供漏洞复测服务。服务期内包含对重要信息系统的渗透测试服务。</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根据漏洞扫描、差距分析等工作结果，结合院内信息系统业务需求，通过技术手段协助院内对信息系统相关的操作系统、网络与安全设备进行安全策略加强、调优，加强网络、系统和设备抵御攻击和威胁的能力，整体提高网络安全防护水平。</w:t>
            </w:r>
          </w:p>
        </w:tc>
      </w:tr>
      <w:tr>
        <w:tblPrEx>
          <w:tblCellMar>
            <w:top w:w="0" w:type="dxa"/>
            <w:left w:w="108" w:type="dxa"/>
            <w:bottom w:w="0" w:type="dxa"/>
            <w:right w:w="108" w:type="dxa"/>
          </w:tblCellMar>
        </w:tblPrEx>
        <w:trPr>
          <w:trHeight w:val="116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numPr>
                <w:ilvl w:val="0"/>
                <w:numId w:val="1"/>
              </w:numPr>
              <w:ind w:firstLineChars="0"/>
              <w:jc w:val="center"/>
              <w:textAlignment w:val="center"/>
              <w:rPr>
                <w:rFonts w:ascii="宋体" w:hAnsi="宋体" w:eastAsia="宋体" w:cs="宋体"/>
                <w:color w:val="000000"/>
                <w:szCs w:val="21"/>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资产梳理服务</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通过文档资料收集、访谈和现场勘查等方式，梳理信息系统现状，从整体上获取信息系统相关资料，并对所获取资料进行汇总分析，了解系统的功能、服务对象、安全保护属性、相关软硬件资产及重要程度、网络架构、系统部署、业务数据交互等具体情况。</w:t>
            </w:r>
          </w:p>
        </w:tc>
      </w:tr>
      <w:tr>
        <w:tblPrEx>
          <w:tblCellMar>
            <w:top w:w="0" w:type="dxa"/>
            <w:left w:w="108" w:type="dxa"/>
            <w:bottom w:w="0" w:type="dxa"/>
            <w:right w:w="108" w:type="dxa"/>
          </w:tblCellMar>
        </w:tblPrEx>
        <w:trPr>
          <w:trHeight w:val="266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numPr>
                <w:ilvl w:val="0"/>
                <w:numId w:val="1"/>
              </w:numPr>
              <w:ind w:firstLineChars="0"/>
              <w:jc w:val="center"/>
              <w:textAlignment w:val="center"/>
              <w:rPr>
                <w:rFonts w:ascii="宋体" w:hAnsi="宋体" w:eastAsia="宋体" w:cs="宋体"/>
                <w:color w:val="000000"/>
                <w:szCs w:val="21"/>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应急响应技术支持</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须明确一名信息安全技术专家，作为本次项目的应急响应团队负责人，在日常工作中为采购人提供7*24小时信息安全技术咨询及工作建议。当采购人信息系统突发信息安全事件时，须及时组织有解决问题能力的技术团队赶赴采购人现场，分析安全故障和事件原因、形成处置计划、处理安全故障并协助恢复系统正常工作。在事件处理完毕后及时出具突发事件应急服务处置报告。响应时间要求如下：</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响应时间：30分钟以内；</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 到场时间：</w:t>
            </w:r>
            <w:r>
              <w:rPr>
                <w:rFonts w:ascii="宋体" w:hAnsi="宋体" w:eastAsia="宋体" w:cs="宋体"/>
                <w:color w:val="000000"/>
                <w:kern w:val="0"/>
                <w:szCs w:val="21"/>
                <w:lang w:bidi="ar"/>
              </w:rPr>
              <w:t>4</w:t>
            </w:r>
            <w:r>
              <w:rPr>
                <w:rFonts w:hint="eastAsia" w:ascii="宋体" w:hAnsi="宋体" w:eastAsia="宋体" w:cs="宋体"/>
                <w:color w:val="000000"/>
                <w:kern w:val="0"/>
                <w:szCs w:val="21"/>
                <w:lang w:bidi="ar"/>
              </w:rPr>
              <w:t>小时内到达现场；</w:t>
            </w:r>
          </w:p>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 处置时间：</w:t>
            </w:r>
            <w:r>
              <w:rPr>
                <w:rFonts w:ascii="宋体" w:hAnsi="宋体" w:eastAsia="宋体" w:cs="宋体"/>
                <w:color w:val="000000"/>
                <w:kern w:val="0"/>
                <w:szCs w:val="21"/>
                <w:lang w:bidi="ar"/>
              </w:rPr>
              <w:t>12</w:t>
            </w:r>
            <w:r>
              <w:rPr>
                <w:rFonts w:hint="eastAsia" w:ascii="宋体" w:hAnsi="宋体" w:eastAsia="宋体" w:cs="宋体"/>
                <w:color w:val="000000"/>
                <w:kern w:val="0"/>
                <w:szCs w:val="21"/>
                <w:lang w:bidi="ar"/>
              </w:rPr>
              <w:t>小时内处置完毕并出具处置报告。</w:t>
            </w:r>
          </w:p>
        </w:tc>
      </w:tr>
      <w:tr>
        <w:tblPrEx>
          <w:tblCellMar>
            <w:top w:w="0" w:type="dxa"/>
            <w:left w:w="108" w:type="dxa"/>
            <w:bottom w:w="0" w:type="dxa"/>
            <w:right w:w="108" w:type="dxa"/>
          </w:tblCellMar>
        </w:tblPrEx>
        <w:trPr>
          <w:trHeight w:val="96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numPr>
                <w:ilvl w:val="0"/>
                <w:numId w:val="1"/>
              </w:numPr>
              <w:ind w:firstLineChars="0"/>
              <w:jc w:val="center"/>
              <w:textAlignment w:val="center"/>
              <w:rPr>
                <w:rFonts w:ascii="宋体" w:hAnsi="宋体" w:eastAsia="宋体" w:cs="宋体"/>
                <w:color w:val="000000"/>
                <w:szCs w:val="21"/>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重要时期安全保障服务</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根据信息网络安全工作需要，提供重保安全技术支持，在两会、国庆等国家重要会议、节日期间，提供现场或远程的安全事件通报、安全加固整改及7*24 安全监控与应急响应服务；配合公安机关、网信部门每年对医院进行的网络安全检查工作。</w:t>
            </w:r>
          </w:p>
        </w:tc>
      </w:tr>
      <w:tr>
        <w:tblPrEx>
          <w:tblCellMar>
            <w:top w:w="0" w:type="dxa"/>
            <w:left w:w="108" w:type="dxa"/>
            <w:bottom w:w="0" w:type="dxa"/>
            <w:right w:w="108" w:type="dxa"/>
          </w:tblCellMar>
        </w:tblPrEx>
        <w:trPr>
          <w:trHeight w:val="92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numPr>
                <w:ilvl w:val="0"/>
                <w:numId w:val="1"/>
              </w:numPr>
              <w:ind w:firstLineChars="0"/>
              <w:jc w:val="center"/>
              <w:textAlignment w:val="center"/>
              <w:rPr>
                <w:rFonts w:ascii="宋体" w:hAnsi="宋体" w:eastAsia="宋体" w:cs="宋体"/>
                <w:color w:val="000000"/>
                <w:szCs w:val="21"/>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网络安全培训服务</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通过大量的当前典型网络安全事件导入，对网络安全威胁给予直观描述，加强员工安全意识，尤其防范社会工程学攻击。包括全员安全意识宣传、内部安全意识培训以及第三方安全意识宣贯等。</w:t>
            </w:r>
          </w:p>
        </w:tc>
      </w:tr>
      <w:tr>
        <w:tblPrEx>
          <w:tblCellMar>
            <w:top w:w="0" w:type="dxa"/>
            <w:left w:w="108" w:type="dxa"/>
            <w:bottom w:w="0" w:type="dxa"/>
            <w:right w:w="108" w:type="dxa"/>
          </w:tblCellMar>
        </w:tblPrEx>
        <w:trPr>
          <w:trHeight w:val="96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numPr>
                <w:ilvl w:val="0"/>
                <w:numId w:val="1"/>
              </w:numPr>
              <w:ind w:firstLineChars="0"/>
              <w:jc w:val="center"/>
              <w:textAlignment w:val="center"/>
              <w:rPr>
                <w:rFonts w:ascii="宋体" w:hAnsi="宋体" w:eastAsia="宋体" w:cs="宋体"/>
                <w:color w:val="000000"/>
                <w:szCs w:val="21"/>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网络安全加固服务</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对核心业务系统按照最新标准进行网络安全差距分析，根据差距分析结果对安全漏洞进行加固、安全缺陷进行弥补、安全策略进行调整、安全管理进行提升，确保经过等级保护安全加固使各核心业务系统（HIS、LIS、PACS、EMR）达到相应级别的等级保护标准（三级）要求。</w:t>
            </w:r>
          </w:p>
        </w:tc>
      </w:tr>
      <w:tr>
        <w:tblPrEx>
          <w:tblCellMar>
            <w:top w:w="0" w:type="dxa"/>
            <w:left w:w="108" w:type="dxa"/>
            <w:bottom w:w="0" w:type="dxa"/>
            <w:right w:w="108" w:type="dxa"/>
          </w:tblCellMar>
        </w:tblPrEx>
        <w:trPr>
          <w:trHeight w:val="960" w:hRule="atLeast"/>
          <w:jc w:val="center"/>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numPr>
                <w:ilvl w:val="0"/>
                <w:numId w:val="1"/>
              </w:numPr>
              <w:ind w:firstLineChars="0"/>
              <w:jc w:val="center"/>
              <w:textAlignment w:val="center"/>
              <w:rPr>
                <w:rFonts w:ascii="宋体" w:hAnsi="宋体" w:eastAsia="宋体" w:cs="宋体"/>
                <w:color w:val="000000"/>
                <w:szCs w:val="21"/>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业务系统安全加固及达标检测服务</w:t>
            </w:r>
          </w:p>
        </w:tc>
        <w:tc>
          <w:tcPr>
            <w:tcW w:w="6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按照采购方要求对医院核心业务系统进行安全加固、性能测试、优化升级、接口开发、运行维护及综合技术支持服务，完成核心业务系统（HIS、LIS、PACS、EMR）的网络安全达标检测（满足等保三级要求）并取得证明文件。</w:t>
            </w:r>
          </w:p>
        </w:tc>
      </w:tr>
    </w:tbl>
    <w:p>
      <w:pPr>
        <w:widowControl/>
        <w:spacing w:line="360" w:lineRule="auto"/>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81DA4"/>
    <w:multiLevelType w:val="multilevel"/>
    <w:tmpl w:val="22B81DA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0MWM5MGZmZWIyNTFlYTRlNWI0MjUzYjZmYzY0NDMifQ=="/>
  </w:docVars>
  <w:rsids>
    <w:rsidRoot w:val="00354F68"/>
    <w:rsid w:val="000178B3"/>
    <w:rsid w:val="000A67E1"/>
    <w:rsid w:val="00144EF1"/>
    <w:rsid w:val="00165DE9"/>
    <w:rsid w:val="0023015A"/>
    <w:rsid w:val="00254E88"/>
    <w:rsid w:val="002914A0"/>
    <w:rsid w:val="00312414"/>
    <w:rsid w:val="00354F68"/>
    <w:rsid w:val="00367955"/>
    <w:rsid w:val="00473774"/>
    <w:rsid w:val="004D6D93"/>
    <w:rsid w:val="004E61EB"/>
    <w:rsid w:val="0064421F"/>
    <w:rsid w:val="00702BF5"/>
    <w:rsid w:val="007D0278"/>
    <w:rsid w:val="007E651E"/>
    <w:rsid w:val="0086617D"/>
    <w:rsid w:val="00902987"/>
    <w:rsid w:val="00917B0B"/>
    <w:rsid w:val="00972313"/>
    <w:rsid w:val="009A0CA3"/>
    <w:rsid w:val="00A20E21"/>
    <w:rsid w:val="00A544CE"/>
    <w:rsid w:val="00A54BE5"/>
    <w:rsid w:val="00A6596B"/>
    <w:rsid w:val="00B61725"/>
    <w:rsid w:val="00B80295"/>
    <w:rsid w:val="00CC7318"/>
    <w:rsid w:val="00DA3274"/>
    <w:rsid w:val="00DD2B4E"/>
    <w:rsid w:val="00F66D93"/>
    <w:rsid w:val="00FF1BBC"/>
    <w:rsid w:val="6D4E4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0EEA7-4635-49E3-9F8E-0462D7A500B3}">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2084</Words>
  <Characters>2174</Characters>
  <Lines>16</Lines>
  <Paragraphs>4</Paragraphs>
  <TotalTime>11</TotalTime>
  <ScaleCrop>false</ScaleCrop>
  <LinksUpToDate>false</LinksUpToDate>
  <CharactersWithSpaces>2222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2022-10-11T23:55:00Z</dcterms:created>
  <dc:creator>WYS</dc:creator>
  <cp:lastModifiedBy>木辛</cp:lastModifiedBy>
  <dcterms:modified xsi:type="dcterms:W3CDTF">2022-10-14T08:22:42Z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6D1854C304BD4399B71BEEE0E87EEB23</vt:lpwstr>
  </property>
</Properties>
</file>