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Arial" w:hAnsi="Arial" w:cs="Arial"/>
          <w:kern w:val="0"/>
          <w:sz w:val="28"/>
          <w:szCs w:val="28"/>
          <w:lang w:bidi="ar"/>
        </w:rPr>
      </w:pPr>
      <w:r>
        <w:rPr>
          <w:rFonts w:hint="eastAsia" w:ascii="Arial" w:hAnsi="Arial" w:cs="Arial"/>
          <w:kern w:val="0"/>
          <w:sz w:val="28"/>
          <w:szCs w:val="28"/>
          <w:lang w:bidi="ar"/>
        </w:rPr>
        <w:t>附件：询价项目技术规格及要求</w:t>
      </w:r>
    </w:p>
    <w:p>
      <w:pPr>
        <w:widowControl/>
        <w:spacing w:line="360" w:lineRule="atLeast"/>
        <w:jc w:val="left"/>
        <w:rPr>
          <w:rFonts w:hint="eastAsia"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医院信息化驻场服务</w:t>
      </w:r>
      <w:r>
        <w:rPr>
          <w:rFonts w:hint="eastAsia" w:ascii="Arial" w:hAnsi="Arial" w:cs="Arial"/>
          <w:kern w:val="0"/>
          <w:szCs w:val="21"/>
          <w:lang w:bidi="ar"/>
        </w:rPr>
        <w:t>技术规格及要求</w:t>
      </w:r>
    </w:p>
    <w:tbl>
      <w:tblPr>
        <w:tblStyle w:val="3"/>
        <w:tblW w:w="8839"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15"/>
        <w:gridCol w:w="884"/>
        <w:gridCol w:w="3966"/>
        <w:gridCol w:w="519"/>
        <w:gridCol w:w="572"/>
        <w:gridCol w:w="823"/>
        <w:gridCol w:w="915"/>
        <w:gridCol w:w="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1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hint="eastAsia" w:ascii="Arial" w:hAnsi="Arial" w:cs="Arial"/>
                <w:szCs w:val="21"/>
              </w:rPr>
            </w:pPr>
            <w:r>
              <w:rPr>
                <w:rFonts w:hint="eastAsia" w:ascii="Arial" w:hAnsi="Arial" w:cs="Arial"/>
                <w:kern w:val="0"/>
                <w:szCs w:val="21"/>
                <w:lang w:bidi="ar"/>
              </w:rPr>
              <w:t>序</w:t>
            </w:r>
            <w:r>
              <w:rPr>
                <w:rFonts w:ascii="Arial" w:hAnsi="Arial" w:cs="Arial"/>
                <w:kern w:val="0"/>
                <w:szCs w:val="21"/>
                <w:lang w:bidi="ar"/>
              </w:rPr>
              <w:t>号</w:t>
            </w:r>
          </w:p>
        </w:tc>
        <w:tc>
          <w:tcPr>
            <w:tcW w:w="88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名称</w:t>
            </w:r>
          </w:p>
        </w:tc>
        <w:tc>
          <w:tcPr>
            <w:tcW w:w="3966"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技术规格要求</w:t>
            </w:r>
          </w:p>
        </w:tc>
        <w:tc>
          <w:tcPr>
            <w:tcW w:w="519"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单位</w:t>
            </w:r>
          </w:p>
        </w:tc>
        <w:tc>
          <w:tcPr>
            <w:tcW w:w="572"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数量</w:t>
            </w:r>
          </w:p>
        </w:tc>
        <w:tc>
          <w:tcPr>
            <w:tcW w:w="82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单价</w:t>
            </w:r>
            <w:r>
              <w:rPr>
                <w:rFonts w:ascii="Arial" w:hAnsi="Arial" w:cs="Arial"/>
                <w:kern w:val="0"/>
                <w:szCs w:val="21"/>
                <w:lang w:bidi="ar"/>
              </w:rPr>
              <w:br w:type="textWrapping"/>
            </w:r>
            <w:r>
              <w:rPr>
                <w:rFonts w:ascii="Arial" w:hAnsi="Arial" w:cs="Arial"/>
                <w:kern w:val="0"/>
                <w:szCs w:val="21"/>
                <w:lang w:bidi="ar"/>
              </w:rPr>
              <w:t>（万元）</w:t>
            </w:r>
          </w:p>
        </w:tc>
        <w:tc>
          <w:tcPr>
            <w:tcW w:w="91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总价</w:t>
            </w:r>
            <w:r>
              <w:rPr>
                <w:rFonts w:ascii="Arial" w:hAnsi="Arial" w:cs="Arial"/>
                <w:kern w:val="0"/>
                <w:szCs w:val="21"/>
                <w:lang w:bidi="ar"/>
              </w:rPr>
              <w:br w:type="textWrapping"/>
            </w:r>
            <w:r>
              <w:rPr>
                <w:rFonts w:ascii="Arial" w:hAnsi="Arial" w:cs="Arial"/>
                <w:kern w:val="0"/>
                <w:szCs w:val="21"/>
                <w:lang w:bidi="ar"/>
              </w:rPr>
              <w:t>（万元）</w:t>
            </w:r>
          </w:p>
        </w:tc>
        <w:tc>
          <w:tcPr>
            <w:tcW w:w="54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ascii="Arial" w:hAnsi="Arial" w:cs="Arial"/>
                <w:szCs w:val="21"/>
              </w:rPr>
            </w:pPr>
            <w:r>
              <w:rPr>
                <w:rFonts w:ascii="Arial" w:hAnsi="Arial" w:cs="Arial"/>
                <w:kern w:val="0"/>
                <w:szCs w:val="21"/>
                <w:lang w:bidi="ar"/>
              </w:rPr>
              <w:t>1</w:t>
            </w:r>
          </w:p>
        </w:tc>
        <w:tc>
          <w:tcPr>
            <w:tcW w:w="88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hint="eastAsia" w:ascii="Arial" w:hAnsi="Arial" w:cs="Arial"/>
                <w:szCs w:val="21"/>
              </w:rPr>
            </w:pPr>
            <w:r>
              <w:rPr>
                <w:rFonts w:hint="eastAsia" w:ascii="Arial" w:hAnsi="Arial" w:cs="Arial"/>
                <w:szCs w:val="21"/>
              </w:rPr>
              <w:t>医院信息化驻场服务</w:t>
            </w:r>
          </w:p>
        </w:tc>
        <w:tc>
          <w:tcPr>
            <w:tcW w:w="3966"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r>
              <w:rPr>
                <w:rFonts w:ascii="Arial" w:hAnsi="Arial" w:cs="Arial"/>
                <w:szCs w:val="21"/>
              </w:rPr>
              <w:t>1、做好医院与医疗软件公司之间的问题和技术沟通。</w:t>
            </w:r>
          </w:p>
          <w:p>
            <w:pPr>
              <w:widowControl/>
              <w:jc w:val="left"/>
              <w:rPr>
                <w:rFonts w:ascii="Arial" w:hAnsi="Arial" w:cs="Arial"/>
                <w:szCs w:val="21"/>
              </w:rPr>
            </w:pPr>
            <w:r>
              <w:rPr>
                <w:rFonts w:ascii="Arial" w:hAnsi="Arial" w:cs="Arial"/>
                <w:szCs w:val="21"/>
              </w:rPr>
              <w:t>2、对医院信息系统进行全面维护服务，包括软件、维护、培训和数据安全等方面的工作，保证信息系统的长期稳定运行。</w:t>
            </w:r>
          </w:p>
          <w:p>
            <w:pPr>
              <w:widowControl/>
              <w:jc w:val="left"/>
              <w:rPr>
                <w:rFonts w:ascii="Arial" w:hAnsi="Arial" w:cs="Arial"/>
                <w:szCs w:val="21"/>
              </w:rPr>
            </w:pPr>
            <w:r>
              <w:rPr>
                <w:rFonts w:ascii="Arial" w:hAnsi="Arial" w:cs="Arial"/>
                <w:szCs w:val="21"/>
              </w:rPr>
              <w:t>3、若医院信息系统的软件出现问题，能及时作出诊断，提出合理的解决方案，解决问题；并及时排除医院信息系统软件的故障，保证医院信息管理系统软件正常、稳定、安全运行。</w:t>
            </w:r>
          </w:p>
          <w:p>
            <w:pPr>
              <w:widowControl/>
              <w:jc w:val="left"/>
              <w:rPr>
                <w:rFonts w:ascii="Arial" w:hAnsi="Arial" w:cs="Arial"/>
                <w:szCs w:val="21"/>
              </w:rPr>
            </w:pPr>
            <w:r>
              <w:rPr>
                <w:rFonts w:ascii="Arial" w:hAnsi="Arial" w:cs="Arial"/>
                <w:szCs w:val="21"/>
              </w:rPr>
              <w:t>4、负责信息系统的备份，包括自动备份和定期备份。确保医院数据不损失。</w:t>
            </w:r>
          </w:p>
          <w:p>
            <w:pPr>
              <w:widowControl/>
              <w:jc w:val="left"/>
              <w:rPr>
                <w:rFonts w:ascii="Arial" w:hAnsi="Arial" w:cs="Arial"/>
                <w:szCs w:val="21"/>
              </w:rPr>
            </w:pPr>
            <w:r>
              <w:rPr>
                <w:rFonts w:ascii="Arial" w:hAnsi="Arial" w:cs="Arial"/>
                <w:szCs w:val="21"/>
              </w:rPr>
              <w:t>5、对医院人员使用软件进行技术指导,并对医院人员（新增、进修人员）进行补充技术培训；</w:t>
            </w:r>
          </w:p>
          <w:p>
            <w:pPr>
              <w:widowControl/>
              <w:jc w:val="left"/>
              <w:rPr>
                <w:rFonts w:ascii="Arial" w:hAnsi="Arial" w:cs="Arial"/>
                <w:szCs w:val="21"/>
              </w:rPr>
            </w:pPr>
            <w:r>
              <w:rPr>
                <w:rFonts w:ascii="Arial" w:hAnsi="Arial" w:cs="Arial"/>
                <w:szCs w:val="21"/>
              </w:rPr>
              <w:t>6、协助制订医院信息管理系统建设实施规划和各种内部医院信息管理系统管理制度。</w:t>
            </w:r>
          </w:p>
          <w:p>
            <w:pPr>
              <w:widowControl/>
              <w:jc w:val="left"/>
              <w:rPr>
                <w:rFonts w:ascii="Arial" w:hAnsi="Arial" w:cs="Arial"/>
                <w:szCs w:val="21"/>
              </w:rPr>
            </w:pPr>
            <w:r>
              <w:rPr>
                <w:rFonts w:ascii="Arial" w:hAnsi="Arial" w:cs="Arial"/>
                <w:szCs w:val="21"/>
              </w:rPr>
              <w:t>7、负责定期医院信息管理软件（操作系统和数据库）的工作状态、性能进行评估，并出具评估报告给医院。</w:t>
            </w:r>
          </w:p>
          <w:p>
            <w:pPr>
              <w:widowControl/>
              <w:jc w:val="left"/>
              <w:rPr>
                <w:rFonts w:ascii="Arial" w:hAnsi="Arial" w:cs="Arial"/>
                <w:szCs w:val="21"/>
              </w:rPr>
            </w:pPr>
            <w:r>
              <w:rPr>
                <w:rFonts w:ascii="Arial" w:hAnsi="Arial" w:cs="Arial"/>
                <w:szCs w:val="21"/>
              </w:rPr>
              <w:t>8、负责医院信息系统软件（操作系统和数据库）的故障处理，解决软件发生的问题。对医院信息系统软件（操作系统和数据库）可能发生的故障，制定预防方案，制定和实施故障处理预案。</w:t>
            </w:r>
          </w:p>
          <w:p>
            <w:pPr>
              <w:widowControl/>
              <w:jc w:val="left"/>
              <w:rPr>
                <w:rFonts w:ascii="Arial" w:hAnsi="Arial" w:cs="Arial"/>
                <w:szCs w:val="21"/>
              </w:rPr>
            </w:pPr>
            <w:r>
              <w:rPr>
                <w:rFonts w:hint="eastAsia" w:ascii="Arial" w:hAnsi="Arial" w:cs="Arial"/>
                <w:szCs w:val="21"/>
              </w:rPr>
              <w:t>9、驻场服务厂家需承担新增加PACS、LIS设备与HIS和电子病历系统的数据接口对接</w:t>
            </w:r>
          </w:p>
          <w:p>
            <w:pPr>
              <w:widowControl/>
              <w:jc w:val="left"/>
              <w:rPr>
                <w:rFonts w:hint="eastAsia" w:ascii="Arial" w:hAnsi="Arial" w:cs="Arial"/>
                <w:szCs w:val="21"/>
              </w:rPr>
            </w:pPr>
            <w:r>
              <w:rPr>
                <w:rFonts w:hint="eastAsia" w:ascii="Arial" w:hAnsi="Arial" w:cs="Arial"/>
                <w:szCs w:val="21"/>
              </w:rPr>
              <w:t>1</w:t>
            </w:r>
            <w:r>
              <w:rPr>
                <w:rFonts w:ascii="Arial" w:hAnsi="Arial" w:cs="Arial"/>
                <w:szCs w:val="21"/>
              </w:rPr>
              <w:t>0.</w:t>
            </w:r>
            <w:r>
              <w:rPr>
                <w:rFonts w:hint="eastAsia" w:ascii="Arial" w:hAnsi="Arial" w:cs="Arial"/>
                <w:szCs w:val="21"/>
              </w:rPr>
              <w:t>提供不少于2人驻场服务。</w:t>
            </w:r>
          </w:p>
        </w:tc>
        <w:tc>
          <w:tcPr>
            <w:tcW w:w="519"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hint="eastAsia" w:ascii="Arial" w:hAnsi="Arial" w:cs="Arial"/>
                <w:szCs w:val="21"/>
              </w:rPr>
            </w:pPr>
            <w:r>
              <w:rPr>
                <w:rFonts w:hint="eastAsia" w:ascii="Arial" w:hAnsi="Arial" w:cs="Arial"/>
                <w:szCs w:val="21"/>
              </w:rPr>
              <w:t>年</w:t>
            </w:r>
          </w:p>
        </w:tc>
        <w:tc>
          <w:tcPr>
            <w:tcW w:w="572"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center"/>
              <w:rPr>
                <w:rFonts w:hint="eastAsia" w:ascii="Arial" w:hAnsi="Arial" w:cs="Arial"/>
                <w:szCs w:val="21"/>
              </w:rPr>
            </w:pPr>
            <w:r>
              <w:rPr>
                <w:rFonts w:hint="eastAsia" w:ascii="Arial" w:hAnsi="Arial" w:cs="Arial"/>
                <w:szCs w:val="21"/>
              </w:rPr>
              <w:t>1</w:t>
            </w:r>
          </w:p>
        </w:tc>
        <w:tc>
          <w:tcPr>
            <w:tcW w:w="823"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p>
        </w:tc>
        <w:tc>
          <w:tcPr>
            <w:tcW w:w="915"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p>
        </w:tc>
        <w:tc>
          <w:tcPr>
            <w:tcW w:w="544" w:type="dxa"/>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839" w:type="dxa"/>
            <w:gridSpan w:val="8"/>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r>
              <w:rPr>
                <w:rFonts w:ascii="Arial" w:hAnsi="Arial" w:cs="Arial"/>
                <w:kern w:val="0"/>
                <w:szCs w:val="21"/>
                <w:lang w:bidi="ar"/>
              </w:rPr>
              <w:t>总报价（人民币）：大写：                                         小写：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839" w:type="dxa"/>
            <w:gridSpan w:val="8"/>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jc w:val="left"/>
              <w:rPr>
                <w:rFonts w:ascii="Arial" w:hAnsi="Arial" w:cs="Arial"/>
                <w:szCs w:val="21"/>
              </w:rPr>
            </w:pPr>
            <w:r>
              <w:rPr>
                <w:rFonts w:ascii="Arial" w:hAnsi="Arial" w:cs="Arial"/>
                <w:kern w:val="0"/>
                <w:szCs w:val="21"/>
                <w:lang w:bidi="ar"/>
              </w:rPr>
              <w:t>备注：</w:t>
            </w:r>
          </w:p>
        </w:tc>
      </w:tr>
    </w:tbl>
    <w:p>
      <w:r>
        <w:rPr>
          <w:rFonts w:hint="eastAsia"/>
        </w:rPr>
        <w:t>2</w:t>
      </w:r>
      <w:r>
        <w:t>.</w:t>
      </w:r>
      <w:r>
        <w:rPr>
          <w:rFonts w:hint="eastAsia"/>
        </w:rPr>
        <w:t>医院信息化系统清单</w:t>
      </w:r>
    </w:p>
    <w:tbl>
      <w:tblPr>
        <w:tblStyle w:val="3"/>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919"/>
        <w:gridCol w:w="2107"/>
        <w:gridCol w:w="841"/>
        <w:gridCol w:w="64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等线" w:hAnsi="等线" w:eastAsia="等线"/>
                <w:szCs w:val="21"/>
              </w:rPr>
            </w:pPr>
            <w:r>
              <w:rPr>
                <w:rFonts w:hint="eastAsia" w:ascii="等线" w:hAnsi="等线" w:eastAsia="等线"/>
                <w:szCs w:val="21"/>
              </w:rPr>
              <w:t>序号</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产品名称</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规格型号</w:t>
            </w: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品牌</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单位</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系统维护管理系统</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等线" w:hAnsi="等线" w:eastAsia="等线"/>
                <w:szCs w:val="21"/>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等线" w:hAnsi="等线" w:eastAsia="等线"/>
                <w:szCs w:val="21"/>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院长信息查询系统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医院办公管理系统（OA）</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二级医院等级评审信息管理系统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财务查询审核系统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医院运营成本核算管理系统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人事管理系统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病人随访信息管理系统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医疗统计管理系统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护理部管理系统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医务科管理系统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药剂科管理系统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临床路径信息管理系统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单病种费用管理系统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住院电子病历质量监控管理系统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危急值管理系统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合理用药审查系统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抗菌药物分级管理系统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抗菌药物监测管理系统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处方审查与点评系统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olor w:val="FF0000"/>
                <w:szCs w:val="21"/>
              </w:rPr>
            </w:pPr>
            <w:r>
              <w:rPr>
                <w:rFonts w:hint="eastAsia" w:ascii="等线" w:hAnsi="等线" w:eastAsia="等线"/>
                <w:szCs w:val="21"/>
              </w:rPr>
              <w:t>医院感染监控管理系统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临床疾病报告卡管理系统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医疗不良事件报告管理系统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病人就诊一卡通（多卡通）管理系统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门诊个人账户管理系统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门诊挂号管理系统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宋体"/>
                <w:bCs/>
                <w:szCs w:val="21"/>
              </w:rPr>
            </w:pPr>
            <w:r>
              <w:rPr>
                <w:rFonts w:hint="eastAsia" w:ascii="等线" w:hAnsi="等线" w:eastAsia="等线"/>
                <w:szCs w:val="21"/>
              </w:rPr>
              <w:t>电话预约挂号系统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诊间预约挂号系统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门诊输液管理系统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门诊排队管理系统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门诊医生工作站</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门诊电子病历</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门诊护士工作站</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财务（收费）票据管理系统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住院医生工作站系统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住院电子病历</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住院护士工作站系统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护理电子病历</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住院病案首页信息管理系统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手术信息管理系统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麻醉信息管理系统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输血信息管理系统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健康体检信息管理系统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医学影像管理系统（PACS）</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bCs/>
                <w:szCs w:val="21"/>
              </w:rPr>
            </w:pPr>
            <w:r>
              <w:rPr>
                <w:rFonts w:hint="eastAsia" w:ascii="等线" w:hAnsi="等线" w:eastAsia="等线"/>
                <w:bCs/>
                <w:szCs w:val="21"/>
              </w:rPr>
              <w:t>内窥镜管理系统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bCs/>
                <w:szCs w:val="21"/>
              </w:rPr>
            </w:pPr>
            <w:r>
              <w:rPr>
                <w:rFonts w:hint="eastAsia" w:ascii="等线" w:hAnsi="等线" w:eastAsia="等线"/>
                <w:bCs/>
                <w:szCs w:val="21"/>
              </w:rPr>
              <w:t>超声管理系统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放射科管理系统（RIS）</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病理信息管理系统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医技科室报告管理系统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实验室（检验科）信息管理系统（LIS）</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检验标本条码管理系统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检验报告自助打印系统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门诊药房管理系统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住院药房管理系统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中药房管理系统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西药库管理系统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中药库管理系统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物价（药品价格）管理系统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供应室管理系统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医疗设备管理系统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总务设备管理系统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bCs/>
                <w:szCs w:val="21"/>
              </w:rPr>
            </w:pPr>
            <w:r>
              <w:rPr>
                <w:rFonts w:hint="eastAsia" w:ascii="等线" w:hAnsi="等线" w:eastAsia="等线"/>
                <w:szCs w:val="21"/>
              </w:rPr>
              <w:t>固定资产管理</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bCs/>
                <w:szCs w:val="21"/>
              </w:rPr>
              <w:t>医用材料管理系统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总务物资管理系统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医保接口管理系统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农村合作医疗接口管理系统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区域人口健康（区域卫生）平台接口系统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居民健康卡接口系统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河南省人民医院远程分级诊疗接口</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北京谷山丰云心电图接口</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2"/>
              <w:numPr>
                <w:ilvl w:val="0"/>
                <w:numId w:val="1"/>
              </w:numPr>
              <w:spacing w:line="380" w:lineRule="exact"/>
              <w:jc w:val="center"/>
              <w:rPr>
                <w:rFonts w:hint="eastAsia" w:ascii="等线" w:hAnsi="等线" w:eastAsia="等线"/>
                <w:szCs w:val="21"/>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szCs w:val="21"/>
              </w:rPr>
            </w:pPr>
            <w:r>
              <w:rPr>
                <w:rFonts w:hint="eastAsia" w:ascii="等线" w:hAnsi="等线" w:eastAsia="等线"/>
                <w:szCs w:val="21"/>
              </w:rPr>
              <w:t>上海趣医网APP接口系统</w:t>
            </w:r>
          </w:p>
        </w:tc>
        <w:tc>
          <w:tcPr>
            <w:tcW w:w="2107"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医院信息网络V16.0</w:t>
            </w:r>
          </w:p>
        </w:tc>
        <w:tc>
          <w:tcPr>
            <w:tcW w:w="841" w:type="dxa"/>
            <w:tcBorders>
              <w:top w:val="single" w:color="auto" w:sz="4" w:space="0"/>
              <w:left w:val="single" w:color="auto" w:sz="4" w:space="0"/>
              <w:bottom w:val="single" w:color="auto" w:sz="4" w:space="0"/>
              <w:right w:val="single" w:color="auto" w:sz="4" w:space="0"/>
            </w:tcBorders>
            <w:noWrap w:val="0"/>
            <w:vAlign w:val="top"/>
          </w:tcPr>
          <w:p>
            <w:pPr>
              <w:rPr>
                <w:rFonts w:hint="eastAsia" w:ascii="等线" w:hAnsi="等线" w:eastAsia="等线"/>
              </w:rPr>
            </w:pPr>
            <w:r>
              <w:rPr>
                <w:rFonts w:hint="eastAsia" w:ascii="等线" w:hAnsi="等线" w:eastAsia="等线"/>
                <w:szCs w:val="21"/>
              </w:rPr>
              <w:t>医星</w:t>
            </w:r>
          </w:p>
        </w:tc>
        <w:tc>
          <w:tcPr>
            <w:tcW w:w="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套</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等线" w:hAnsi="等线" w:eastAsia="等线"/>
                <w:szCs w:val="21"/>
              </w:rPr>
            </w:pPr>
            <w:r>
              <w:rPr>
                <w:rFonts w:hint="eastAsia" w:ascii="等线" w:hAnsi="等线" w:eastAsia="等线"/>
                <w:szCs w:val="21"/>
              </w:rPr>
              <w:t>1</w:t>
            </w:r>
          </w:p>
        </w:tc>
      </w:tr>
    </w:tbl>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C4840"/>
    <w:multiLevelType w:val="multilevel"/>
    <w:tmpl w:val="1FFC4840"/>
    <w:lvl w:ilvl="0" w:tentative="0">
      <w:start w:val="1"/>
      <w:numFmt w:val="decimal"/>
      <w:lvlText w:val="%1."/>
      <w:lvlJc w:val="left"/>
      <w:pPr>
        <w:ind w:left="57" w:firstLine="0"/>
      </w:pPr>
      <w:rPr>
        <w:lang w:val="en-US"/>
      </w:rPr>
    </w:lvl>
    <w:lvl w:ilvl="1" w:tentative="0">
      <w:start w:val="1"/>
      <w:numFmt w:val="lowerLetter"/>
      <w:lvlText w:val="%2)"/>
      <w:lvlJc w:val="left"/>
      <w:pPr>
        <w:ind w:left="57" w:firstLine="0"/>
      </w:pPr>
    </w:lvl>
    <w:lvl w:ilvl="2" w:tentative="0">
      <w:start w:val="1"/>
      <w:numFmt w:val="lowerRoman"/>
      <w:lvlText w:val="%3."/>
      <w:lvlJc w:val="right"/>
      <w:pPr>
        <w:ind w:left="57" w:firstLine="0"/>
      </w:pPr>
    </w:lvl>
    <w:lvl w:ilvl="3" w:tentative="0">
      <w:start w:val="1"/>
      <w:numFmt w:val="decimal"/>
      <w:lvlText w:val="%4."/>
      <w:lvlJc w:val="left"/>
      <w:pPr>
        <w:ind w:left="57" w:firstLine="0"/>
      </w:pPr>
    </w:lvl>
    <w:lvl w:ilvl="4" w:tentative="0">
      <w:start w:val="1"/>
      <w:numFmt w:val="lowerLetter"/>
      <w:lvlText w:val="%5)"/>
      <w:lvlJc w:val="left"/>
      <w:pPr>
        <w:ind w:left="57" w:firstLine="0"/>
      </w:pPr>
    </w:lvl>
    <w:lvl w:ilvl="5" w:tentative="0">
      <w:start w:val="1"/>
      <w:numFmt w:val="lowerRoman"/>
      <w:lvlText w:val="%6."/>
      <w:lvlJc w:val="right"/>
      <w:pPr>
        <w:ind w:left="57" w:firstLine="0"/>
      </w:pPr>
    </w:lvl>
    <w:lvl w:ilvl="6" w:tentative="0">
      <w:start w:val="1"/>
      <w:numFmt w:val="decimal"/>
      <w:lvlText w:val="%7."/>
      <w:lvlJc w:val="left"/>
      <w:pPr>
        <w:ind w:left="57" w:firstLine="0"/>
      </w:pPr>
    </w:lvl>
    <w:lvl w:ilvl="7" w:tentative="0">
      <w:start w:val="1"/>
      <w:numFmt w:val="lowerLetter"/>
      <w:lvlText w:val="%8)"/>
      <w:lvlJc w:val="left"/>
      <w:pPr>
        <w:ind w:left="57" w:firstLine="0"/>
      </w:pPr>
    </w:lvl>
    <w:lvl w:ilvl="8" w:tentative="0">
      <w:start w:val="1"/>
      <w:numFmt w:val="lowerRoman"/>
      <w:lvlText w:val="%9."/>
      <w:lvlJc w:val="right"/>
      <w:pPr>
        <w:ind w:left="57"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A2B4E"/>
    <w:rsid w:val="2F3A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2021-07-13T08:46:00Z</dcterms:created>
  <dc:creator>木辛</dc:creator>
  <cp:lastModifiedBy>木辛</cp:lastModifiedBy>
  <dcterms:modified xsi:type="dcterms:W3CDTF">2021-07-13T08:46:20Z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E403B8F0D50C4D718D20BDE7A016C6F4</vt:lpwstr>
  </property>
</Properties>
</file>